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26"/>
        <w:jc w:val="center"/>
        <w:textAlignment w:val="bottom"/>
        <w:rPr>
          <w:rFonts w:hAnsi="宋体"/>
          <w:b/>
          <w:color w:val="auto"/>
          <w:sz w:val="72"/>
          <w:highlight w:val="none"/>
        </w:rPr>
      </w:pPr>
    </w:p>
    <w:p>
      <w:pPr>
        <w:widowControl/>
        <w:spacing w:line="360" w:lineRule="auto"/>
        <w:ind w:right="-26"/>
        <w:jc w:val="center"/>
        <w:textAlignment w:val="bottom"/>
        <w:rPr>
          <w:rFonts w:hAnsi="宋体"/>
          <w:b/>
          <w:color w:val="auto"/>
          <w:sz w:val="72"/>
          <w:highlight w:val="none"/>
        </w:rPr>
      </w:pPr>
    </w:p>
    <w:p>
      <w:pPr>
        <w:snapToGrid w:val="0"/>
        <w:jc w:val="center"/>
        <w:rPr>
          <w:rFonts w:ascii="黑体" w:hAnsi="华文中宋" w:eastAsia="黑体" w:cs="华文中宋"/>
          <w:b/>
          <w:bCs/>
          <w:color w:val="auto"/>
          <w:sz w:val="72"/>
          <w:szCs w:val="72"/>
          <w:highlight w:val="none"/>
        </w:rPr>
      </w:pPr>
      <w:r>
        <w:rPr>
          <w:rFonts w:hint="eastAsia" w:ascii="黑体" w:hAnsi="华文中宋" w:eastAsia="黑体" w:cs="华文中宋"/>
          <w:b/>
          <w:bCs/>
          <w:color w:val="auto"/>
          <w:sz w:val="72"/>
          <w:szCs w:val="72"/>
          <w:highlight w:val="none"/>
        </w:rPr>
        <w:t>竞争性磋商文件</w:t>
      </w:r>
    </w:p>
    <w:p>
      <w:pPr>
        <w:widowControl/>
        <w:spacing w:line="360" w:lineRule="auto"/>
        <w:ind w:right="-26"/>
        <w:jc w:val="center"/>
        <w:textAlignment w:val="bottom"/>
        <w:rPr>
          <w:rFonts w:hAnsi="宋体"/>
          <w:b/>
          <w:color w:val="auto"/>
          <w:sz w:val="44"/>
          <w:highlight w:val="none"/>
        </w:rPr>
      </w:pPr>
    </w:p>
    <w:p>
      <w:pPr>
        <w:widowControl/>
        <w:spacing w:line="360" w:lineRule="auto"/>
        <w:ind w:right="-26"/>
        <w:jc w:val="center"/>
        <w:textAlignment w:val="bottom"/>
        <w:rPr>
          <w:rFonts w:hAnsi="宋体"/>
          <w:b/>
          <w:color w:val="auto"/>
          <w:sz w:val="44"/>
          <w:highlight w:val="none"/>
        </w:rPr>
      </w:pPr>
    </w:p>
    <w:p>
      <w:pPr>
        <w:widowControl/>
        <w:spacing w:line="360" w:lineRule="auto"/>
        <w:ind w:right="-26"/>
        <w:jc w:val="center"/>
        <w:textAlignment w:val="bottom"/>
        <w:rPr>
          <w:rFonts w:hAnsi="宋体"/>
          <w:b/>
          <w:color w:val="auto"/>
          <w:sz w:val="44"/>
          <w:highlight w:val="none"/>
        </w:rPr>
      </w:pPr>
    </w:p>
    <w:p>
      <w:pPr>
        <w:widowControl/>
        <w:spacing w:line="360" w:lineRule="auto"/>
        <w:ind w:right="-26"/>
        <w:jc w:val="center"/>
        <w:textAlignment w:val="bottom"/>
        <w:rPr>
          <w:rFonts w:hAnsi="宋体"/>
          <w:b/>
          <w:color w:val="auto"/>
          <w:sz w:val="44"/>
          <w:highlight w:val="none"/>
        </w:rPr>
      </w:pPr>
      <w:r>
        <w:rPr>
          <w:color w:val="auto"/>
          <w:sz w:val="44"/>
          <w:highlight w:val="none"/>
        </w:rPr>
        <mc:AlternateContent>
          <mc:Choice Requires="wps">
            <w:drawing>
              <wp:anchor distT="0" distB="0" distL="114300" distR="114300" simplePos="0" relativeHeight="251658240" behindDoc="1" locked="0" layoutInCell="1" allowOverlap="1">
                <wp:simplePos x="0" y="0"/>
                <wp:positionH relativeFrom="column">
                  <wp:posOffset>-67945</wp:posOffset>
                </wp:positionH>
                <wp:positionV relativeFrom="paragraph">
                  <wp:posOffset>202565</wp:posOffset>
                </wp:positionV>
                <wp:extent cx="5332730" cy="1720215"/>
                <wp:effectExtent l="0" t="0" r="1270" b="13335"/>
                <wp:wrapNone/>
                <wp:docPr id="3" name="文本框 6"/>
                <wp:cNvGraphicFramePr/>
                <a:graphic xmlns:a="http://schemas.openxmlformats.org/drawingml/2006/main">
                  <a:graphicData uri="http://schemas.microsoft.com/office/word/2010/wordprocessingShape">
                    <wps:wsp>
                      <wps:cNvSpPr txBox="1"/>
                      <wps:spPr>
                        <a:xfrm>
                          <a:off x="0" y="0"/>
                          <a:ext cx="5332730" cy="1720215"/>
                        </a:xfrm>
                        <a:prstGeom prst="rect">
                          <a:avLst/>
                        </a:prstGeom>
                        <a:gradFill rotWithShape="0">
                          <a:gsLst>
                            <a:gs pos="0">
                              <a:srgbClr val="FFFFFF"/>
                            </a:gs>
                            <a:gs pos="100000">
                              <a:srgbClr val="FFFFFF"/>
                            </a:gs>
                          </a:gsLst>
                          <a:lin ang="0"/>
                          <a:tileRect/>
                        </a:gradFill>
                        <a:ln w="15875">
                          <a:noFill/>
                        </a:ln>
                        <a:effectLst/>
                      </wps:spPr>
                      <wps:txbx>
                        <w:txbxContent>
                          <w:p>
                            <w:pPr>
                              <w:widowControl/>
                              <w:spacing w:line="360" w:lineRule="auto"/>
                              <w:ind w:left="1606" w:right="-26" w:hanging="1606" w:hangingChars="500"/>
                              <w:jc w:val="both"/>
                              <w:textAlignment w:val="bottom"/>
                              <w:rPr>
                                <w:rFonts w:ascii="黑体" w:hAnsi="黑体" w:eastAsia="黑体" w:cs="黑体"/>
                                <w:b/>
                                <w:sz w:val="32"/>
                              </w:rPr>
                            </w:pPr>
                            <w:r>
                              <w:rPr>
                                <w:rFonts w:hint="eastAsia" w:ascii="黑体" w:hAnsi="黑体" w:eastAsia="黑体" w:cs="黑体"/>
                                <w:b/>
                                <w:sz w:val="32"/>
                              </w:rPr>
                              <w:t>项目名称：旗云花园销售中心案场及展示区物业服务项目</w:t>
                            </w:r>
                          </w:p>
                          <w:p>
                            <w:pPr>
                              <w:widowControl/>
                              <w:spacing w:line="360" w:lineRule="auto"/>
                              <w:ind w:right="-26"/>
                              <w:jc w:val="both"/>
                              <w:textAlignment w:val="bottom"/>
                              <w:rPr>
                                <w:rFonts w:ascii="黑体" w:hAnsi="黑体" w:eastAsia="黑体" w:cs="黑体"/>
                                <w:b/>
                                <w:sz w:val="32"/>
                              </w:rPr>
                            </w:pPr>
                            <w:r>
                              <w:rPr>
                                <w:rFonts w:hint="eastAsia" w:ascii="黑体" w:hAnsi="黑体" w:eastAsia="黑体" w:cs="黑体"/>
                                <w:b/>
                                <w:sz w:val="32"/>
                              </w:rPr>
                              <w:t>项目编号：TTWY-20040</w:t>
                            </w:r>
                          </w:p>
                          <w:p>
                            <w:pPr>
                              <w:widowControl/>
                              <w:spacing w:line="360" w:lineRule="auto"/>
                              <w:ind w:right="-26"/>
                              <w:textAlignment w:val="bottom"/>
                              <w:rPr>
                                <w:rFonts w:ascii="黑体" w:hAnsi="黑体" w:eastAsia="黑体" w:cs="黑体"/>
                                <w:b/>
                                <w:sz w:val="32"/>
                              </w:rPr>
                            </w:pPr>
                            <w:r>
                              <w:rPr>
                                <w:rFonts w:hint="eastAsia" w:ascii="黑体" w:hAnsi="黑体" w:eastAsia="黑体" w:cs="黑体"/>
                                <w:b/>
                                <w:sz w:val="32"/>
                              </w:rPr>
                              <w:t>采 购 人：东莞市东实旗云投资有限公司</w:t>
                            </w:r>
                          </w:p>
                          <w:p/>
                        </w:txbxContent>
                      </wps:txbx>
                      <wps:bodyPr upright="1"/>
                    </wps:wsp>
                  </a:graphicData>
                </a:graphic>
              </wp:anchor>
            </w:drawing>
          </mc:Choice>
          <mc:Fallback>
            <w:pict>
              <v:shape id="文本框 6" o:spid="_x0000_s1026" o:spt="202" type="#_x0000_t202" style="position:absolute;left:0pt;margin-left:-5.35pt;margin-top:15.95pt;height:135.45pt;width:419.9pt;z-index:-251658240;mso-width-relative:page;mso-height-relative:page;" fillcolor="#FFFFFF" filled="t" stroked="f" coordsize="21600,21600" o:gfxdata="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WW&#10;tW7aAAAACgEAAA8AAAAAAAAAAQAgAAAAIgAAAGRycy9kb3ducmV2LnhtbFBLAQIUABQAAAAIAIdO&#10;4kAVlbpe6AEAAMkDAAAOAAAAAAAAAAEAIAAAACkBAABkcnMvZTJvRG9jLnhtbFBLBQYAAAAABgAG&#10;AFkBAACDBQAAAAA=&#10;">
                <v:fill type="gradient" on="t" color2="#FFFFFF" angle="90" focus="100%" focussize="0,0">
                  <o:fill type="gradientUnscaled" v:ext="backwardCompatible"/>
                </v:fill>
                <v:stroke on="f" weight="1.25pt"/>
                <v:imagedata o:title=""/>
                <o:lock v:ext="edit" aspectratio="f"/>
                <v:textbox>
                  <w:txbxContent>
                    <w:p>
                      <w:pPr>
                        <w:widowControl/>
                        <w:spacing w:line="360" w:lineRule="auto"/>
                        <w:ind w:left="1606" w:right="-26" w:hanging="1606" w:hangingChars="500"/>
                        <w:jc w:val="both"/>
                        <w:textAlignment w:val="bottom"/>
                        <w:rPr>
                          <w:rFonts w:ascii="黑体" w:hAnsi="黑体" w:eastAsia="黑体" w:cs="黑体"/>
                          <w:b/>
                          <w:sz w:val="32"/>
                        </w:rPr>
                      </w:pPr>
                      <w:r>
                        <w:rPr>
                          <w:rFonts w:hint="eastAsia" w:ascii="黑体" w:hAnsi="黑体" w:eastAsia="黑体" w:cs="黑体"/>
                          <w:b/>
                          <w:sz w:val="32"/>
                        </w:rPr>
                        <w:t>项目名称：旗云花园销售中心案场及展示区物业服务项目</w:t>
                      </w:r>
                    </w:p>
                    <w:p>
                      <w:pPr>
                        <w:widowControl/>
                        <w:spacing w:line="360" w:lineRule="auto"/>
                        <w:ind w:right="-26"/>
                        <w:jc w:val="both"/>
                        <w:textAlignment w:val="bottom"/>
                        <w:rPr>
                          <w:rFonts w:ascii="黑体" w:hAnsi="黑体" w:eastAsia="黑体" w:cs="黑体"/>
                          <w:b/>
                          <w:sz w:val="32"/>
                        </w:rPr>
                      </w:pPr>
                      <w:r>
                        <w:rPr>
                          <w:rFonts w:hint="eastAsia" w:ascii="黑体" w:hAnsi="黑体" w:eastAsia="黑体" w:cs="黑体"/>
                          <w:b/>
                          <w:sz w:val="32"/>
                        </w:rPr>
                        <w:t>项目编号：TTWY-20040</w:t>
                      </w:r>
                    </w:p>
                    <w:p>
                      <w:pPr>
                        <w:widowControl/>
                        <w:spacing w:line="360" w:lineRule="auto"/>
                        <w:ind w:right="-26"/>
                        <w:textAlignment w:val="bottom"/>
                        <w:rPr>
                          <w:rFonts w:ascii="黑体" w:hAnsi="黑体" w:eastAsia="黑体" w:cs="黑体"/>
                          <w:b/>
                          <w:sz w:val="32"/>
                        </w:rPr>
                      </w:pPr>
                      <w:r>
                        <w:rPr>
                          <w:rFonts w:hint="eastAsia" w:ascii="黑体" w:hAnsi="黑体" w:eastAsia="黑体" w:cs="黑体"/>
                          <w:b/>
                          <w:sz w:val="32"/>
                        </w:rPr>
                        <w:t>采 购 人：东莞市东实旗云投资有限公司</w:t>
                      </w:r>
                    </w:p>
                    <w:p/>
                  </w:txbxContent>
                </v:textbox>
              </v:shape>
            </w:pict>
          </mc:Fallback>
        </mc:AlternateContent>
      </w:r>
    </w:p>
    <w:p>
      <w:pPr>
        <w:widowControl/>
        <w:spacing w:line="360" w:lineRule="auto"/>
        <w:ind w:right="-26"/>
        <w:jc w:val="center"/>
        <w:textAlignment w:val="bottom"/>
        <w:rPr>
          <w:rFonts w:hAnsi="宋体"/>
          <w:b/>
          <w:color w:val="auto"/>
          <w:sz w:val="44"/>
          <w:highlight w:val="none"/>
        </w:rPr>
      </w:pPr>
    </w:p>
    <w:p>
      <w:pPr>
        <w:widowControl/>
        <w:spacing w:line="360" w:lineRule="auto"/>
        <w:ind w:right="-26"/>
        <w:jc w:val="center"/>
        <w:textAlignment w:val="bottom"/>
        <w:rPr>
          <w:rFonts w:hAnsi="宋体"/>
          <w:b/>
          <w:color w:val="auto"/>
          <w:sz w:val="44"/>
          <w:highlight w:val="none"/>
        </w:rPr>
      </w:pPr>
    </w:p>
    <w:p>
      <w:pPr>
        <w:widowControl/>
        <w:spacing w:line="360" w:lineRule="auto"/>
        <w:ind w:right="-26"/>
        <w:jc w:val="center"/>
        <w:textAlignment w:val="bottom"/>
        <w:rPr>
          <w:rFonts w:hAnsi="宋体"/>
          <w:b/>
          <w:color w:val="auto"/>
          <w:sz w:val="44"/>
          <w:highlight w:val="none"/>
        </w:rPr>
      </w:pPr>
    </w:p>
    <w:p>
      <w:pPr>
        <w:widowControl/>
        <w:spacing w:line="360" w:lineRule="auto"/>
        <w:ind w:right="-26"/>
        <w:jc w:val="center"/>
        <w:textAlignment w:val="bottom"/>
        <w:rPr>
          <w:rFonts w:hAnsi="宋体"/>
          <w:b/>
          <w:color w:val="auto"/>
          <w:sz w:val="44"/>
          <w:highlight w:val="none"/>
        </w:rPr>
      </w:pPr>
    </w:p>
    <w:p>
      <w:pPr>
        <w:widowControl/>
        <w:spacing w:line="360" w:lineRule="auto"/>
        <w:ind w:right="-26"/>
        <w:jc w:val="center"/>
        <w:textAlignment w:val="bottom"/>
        <w:rPr>
          <w:rFonts w:hAnsi="宋体"/>
          <w:b/>
          <w:color w:val="auto"/>
          <w:sz w:val="44"/>
          <w:highlight w:val="none"/>
        </w:rPr>
      </w:pPr>
    </w:p>
    <w:p>
      <w:pPr>
        <w:widowControl/>
        <w:spacing w:line="360" w:lineRule="auto"/>
        <w:ind w:right="-26"/>
        <w:textAlignment w:val="bottom"/>
        <w:rPr>
          <w:rFonts w:hAnsi="宋体"/>
          <w:b/>
          <w:color w:val="auto"/>
          <w:sz w:val="32"/>
          <w:highlight w:val="none"/>
        </w:rPr>
      </w:pPr>
      <w:r>
        <w:rPr>
          <w:rFonts w:hint="eastAsia" w:hAnsi="宋体"/>
          <w:bCs/>
          <w:color w:val="auto"/>
          <w:sz w:val="21"/>
          <w:szCs w:val="21"/>
          <w:highlight w:val="none"/>
        </w:rPr>
        <w:drawing>
          <wp:anchor distT="0" distB="0" distL="114300" distR="114300" simplePos="0" relativeHeight="251657216" behindDoc="1" locked="0" layoutInCell="1" allowOverlap="1">
            <wp:simplePos x="0" y="0"/>
            <wp:positionH relativeFrom="column">
              <wp:posOffset>441325</wp:posOffset>
            </wp:positionH>
            <wp:positionV relativeFrom="paragraph">
              <wp:posOffset>217805</wp:posOffset>
            </wp:positionV>
            <wp:extent cx="977900" cy="977900"/>
            <wp:effectExtent l="19050" t="0" r="0" b="0"/>
            <wp:wrapNone/>
            <wp:docPr id="2"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公司logo"/>
                    <pic:cNvPicPr>
                      <a:picLocks noChangeAspect="1" noChangeArrowheads="1"/>
                    </pic:cNvPicPr>
                  </pic:nvPicPr>
                  <pic:blipFill>
                    <a:blip r:embed="rId13" cstate="print"/>
                    <a:srcRect/>
                    <a:stretch>
                      <a:fillRect/>
                    </a:stretch>
                  </pic:blipFill>
                  <pic:spPr>
                    <a:xfrm>
                      <a:off x="0" y="0"/>
                      <a:ext cx="977900" cy="977900"/>
                    </a:xfrm>
                    <a:prstGeom prst="rect">
                      <a:avLst/>
                    </a:prstGeom>
                    <a:noFill/>
                    <a:ln w="9525" cmpd="sng">
                      <a:noFill/>
                      <a:miter lim="800000"/>
                      <a:headEnd/>
                      <a:tailEnd/>
                    </a:ln>
                    <a:effectLst/>
                  </pic:spPr>
                </pic:pic>
              </a:graphicData>
            </a:graphic>
          </wp:anchor>
        </w:drawing>
      </w:r>
    </w:p>
    <w:p>
      <w:pPr>
        <w:widowControl/>
        <w:spacing w:line="360" w:lineRule="auto"/>
        <w:ind w:right="-26" w:firstLine="2249" w:firstLineChars="700"/>
        <w:textAlignment w:val="bottom"/>
        <w:rPr>
          <w:rFonts w:ascii="黑体" w:hAnsi="黑体" w:eastAsia="黑体" w:cs="黑体"/>
          <w:b/>
          <w:color w:val="auto"/>
          <w:sz w:val="32"/>
          <w:highlight w:val="none"/>
        </w:rPr>
      </w:pPr>
      <w:r>
        <w:rPr>
          <w:rFonts w:hint="eastAsia" w:ascii="黑体" w:hAnsi="黑体" w:eastAsia="黑体" w:cs="黑体"/>
          <w:b/>
          <w:color w:val="auto"/>
          <w:sz w:val="32"/>
          <w:highlight w:val="none"/>
        </w:rPr>
        <w:t xml:space="preserve">广东泰通伟业工程咨询有限公司 </w:t>
      </w:r>
    </w:p>
    <w:p>
      <w:pPr>
        <w:widowControl/>
        <w:spacing w:line="360" w:lineRule="auto"/>
        <w:ind w:right="-26" w:hanging="480"/>
        <w:jc w:val="center"/>
        <w:textAlignment w:val="bottom"/>
        <w:rPr>
          <w:rFonts w:ascii="黑体" w:hAnsi="黑体" w:eastAsia="黑体" w:cs="黑体"/>
          <w:b/>
          <w:color w:val="auto"/>
          <w:sz w:val="32"/>
          <w:highlight w:val="none"/>
        </w:rPr>
      </w:pPr>
      <w:r>
        <w:rPr>
          <w:rFonts w:hint="eastAsia" w:ascii="黑体" w:hAnsi="黑体" w:eastAsia="黑体" w:cs="黑体"/>
          <w:b/>
          <w:color w:val="auto"/>
          <w:sz w:val="32"/>
          <w:highlight w:val="none"/>
        </w:rPr>
        <w:t xml:space="preserve">    二〇二〇年</w:t>
      </w:r>
      <w:r>
        <w:rPr>
          <w:rFonts w:hint="eastAsia" w:ascii="黑体" w:hAnsi="黑体" w:eastAsia="黑体" w:cs="黑体"/>
          <w:b/>
          <w:color w:val="auto"/>
          <w:sz w:val="32"/>
          <w:highlight w:val="none"/>
          <w:lang w:eastAsia="zh-CN"/>
        </w:rPr>
        <w:t>六</w:t>
      </w:r>
      <w:r>
        <w:rPr>
          <w:rFonts w:hint="eastAsia" w:ascii="黑体" w:hAnsi="黑体" w:eastAsia="黑体" w:cs="黑体"/>
          <w:b/>
          <w:color w:val="auto"/>
          <w:sz w:val="32"/>
          <w:highlight w:val="none"/>
        </w:rPr>
        <w:t>月</w:t>
      </w:r>
    </w:p>
    <w:p>
      <w:pPr>
        <w:widowControl/>
        <w:spacing w:line="360" w:lineRule="auto"/>
        <w:ind w:right="-26" w:hanging="480"/>
        <w:jc w:val="center"/>
        <w:textAlignment w:val="bottom"/>
        <w:rPr>
          <w:rFonts w:ascii="黑体" w:hAnsi="黑体" w:eastAsia="黑体" w:cs="黑体"/>
          <w:b/>
          <w:color w:val="auto"/>
          <w:sz w:val="32"/>
          <w:highlight w:val="none"/>
        </w:rPr>
      </w:pPr>
    </w:p>
    <w:p>
      <w:pPr>
        <w:widowControl/>
        <w:spacing w:line="360" w:lineRule="auto"/>
        <w:ind w:right="-26" w:hanging="480"/>
        <w:jc w:val="center"/>
        <w:textAlignment w:val="bottom"/>
        <w:rPr>
          <w:rFonts w:ascii="黑体" w:hAnsi="黑体" w:eastAsia="黑体" w:cs="黑体"/>
          <w:b/>
          <w:color w:val="auto"/>
          <w:sz w:val="32"/>
          <w:highlight w:val="none"/>
        </w:rPr>
      </w:pPr>
    </w:p>
    <w:p>
      <w:pPr>
        <w:widowControl/>
        <w:spacing w:line="360" w:lineRule="auto"/>
        <w:ind w:right="-26" w:hanging="480"/>
        <w:jc w:val="center"/>
        <w:textAlignment w:val="bottom"/>
        <w:rPr>
          <w:rFonts w:ascii="黑体" w:hAnsi="黑体" w:eastAsia="黑体" w:cs="黑体"/>
          <w:b/>
          <w:color w:val="auto"/>
          <w:sz w:val="32"/>
          <w:highlight w:val="none"/>
        </w:rPr>
      </w:pPr>
    </w:p>
    <w:p>
      <w:pPr>
        <w:jc w:val="both"/>
        <w:rPr>
          <w:rFonts w:hAnsi="宋体"/>
          <w:color w:val="auto"/>
          <w:highlight w:val="none"/>
          <w:lang w:val="zh-CN"/>
        </w:rPr>
        <w:sectPr>
          <w:headerReference r:id="rId4" w:type="first"/>
          <w:headerReference r:id="rId3" w:type="default"/>
          <w:footerReference r:id="rId5" w:type="default"/>
          <w:footerReference r:id="rId6" w:type="even"/>
          <w:type w:val="nextColumn"/>
          <w:pgSz w:w="11907" w:h="16840"/>
          <w:pgMar w:top="1440" w:right="1800" w:bottom="1440" w:left="1800" w:header="851" w:footer="992" w:gutter="0"/>
          <w:pgNumType w:start="0"/>
          <w:cols w:space="720" w:num="1"/>
          <w:docGrid w:type="lines" w:linePitch="312" w:charSpace="0"/>
        </w:sectPr>
      </w:pPr>
      <w:bookmarkStart w:id="0" w:name="_Toc13507"/>
    </w:p>
    <w:bookmarkEnd w:id="0"/>
    <w:p>
      <w:pPr>
        <w:spacing w:line="360" w:lineRule="auto"/>
        <w:ind w:left="48" w:leftChars="20"/>
        <w:jc w:val="center"/>
        <w:rPr>
          <w:rFonts w:ascii="黑体" w:hAnsi="黑体" w:eastAsia="黑体" w:cs="黑体"/>
          <w:color w:val="auto"/>
          <w:sz w:val="32"/>
          <w:szCs w:val="32"/>
          <w:highlight w:val="none"/>
        </w:rPr>
      </w:pPr>
      <w:bookmarkStart w:id="1" w:name="_Toc27261"/>
      <w:r>
        <w:rPr>
          <w:rFonts w:hint="eastAsia" w:ascii="黑体" w:hAnsi="黑体" w:eastAsia="黑体" w:cs="黑体"/>
          <w:color w:val="auto"/>
          <w:sz w:val="32"/>
          <w:szCs w:val="32"/>
          <w:highlight w:val="none"/>
        </w:rPr>
        <w:t>温馨提示</w:t>
      </w:r>
    </w:p>
    <w:p>
      <w:pPr>
        <w:jc w:val="center"/>
        <w:rPr>
          <w:rFonts w:ascii="黑体" w:hAnsi="黑体" w:eastAsia="黑体" w:cs="黑体"/>
          <w:color w:val="auto"/>
          <w:highlight w:val="none"/>
        </w:rPr>
      </w:pPr>
      <w:r>
        <w:rPr>
          <w:rFonts w:hint="eastAsia" w:ascii="黑体" w:hAnsi="黑体" w:eastAsia="黑体" w:cs="黑体"/>
          <w:color w:val="auto"/>
          <w:highlight w:val="none"/>
        </w:rPr>
        <w:t>（本提示内容非磋商文件的组成部分，仅为善意提醒。如有不一致，以磋商文件为准）</w:t>
      </w:r>
    </w:p>
    <w:p>
      <w:pPr>
        <w:spacing w:line="360" w:lineRule="auto"/>
        <w:ind w:left="48" w:leftChars="20"/>
        <w:jc w:val="center"/>
        <w:rPr>
          <w:rFonts w:ascii="黑体" w:hAnsi="黑体" w:eastAsia="黑体" w:cs="黑体"/>
          <w:color w:val="auto"/>
          <w:sz w:val="32"/>
          <w:szCs w:val="32"/>
          <w:highlight w:val="none"/>
        </w:rPr>
      </w:pPr>
    </w:p>
    <w:p>
      <w:pPr>
        <w:numPr>
          <w:ilvl w:val="0"/>
          <w:numId w:val="9"/>
        </w:numP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磋商截止时间一到，采购代理机构不接收供应商的任何相关磋商资料、文件。为此，请适当提前到达。</w:t>
      </w:r>
    </w:p>
    <w:p>
      <w:pPr>
        <w:numPr>
          <w:ilvl w:val="0"/>
          <w:numId w:val="9"/>
        </w:numP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磋商保证金必须于磋商截止时间前到达磋商文件中所注明账户。由于转账当天不一定能够达账，为避免因磋商保证金未到账而导致磋商被拒，建议至少提前2个工作日转账。</w:t>
      </w:r>
    </w:p>
    <w:p>
      <w:pPr>
        <w:numPr>
          <w:ilvl w:val="0"/>
          <w:numId w:val="9"/>
        </w:numP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请正确填写《开标一览表》。多子包项目请仔细检查子包号，子包号与子包名称必须对应。</w:t>
      </w:r>
    </w:p>
    <w:p>
      <w:pPr>
        <w:numPr>
          <w:ilvl w:val="0"/>
          <w:numId w:val="9"/>
        </w:numP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请仔细检查磋商响应文件是否已按磋商文件要求盖章、签名、签署日期。</w:t>
      </w:r>
    </w:p>
    <w:p>
      <w:pPr>
        <w:numPr>
          <w:ilvl w:val="0"/>
          <w:numId w:val="9"/>
        </w:numP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磋商响应文件应按顺序编制页码。</w:t>
      </w:r>
    </w:p>
    <w:p>
      <w:pPr>
        <w:numPr>
          <w:ilvl w:val="0"/>
          <w:numId w:val="9"/>
        </w:numP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如所投产品属于许可证管理范围内的，须提交相应的许可证复印件。</w:t>
      </w:r>
    </w:p>
    <w:p>
      <w:pPr>
        <w:numPr>
          <w:ilvl w:val="0"/>
          <w:numId w:val="9"/>
        </w:numP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为了提高采购效率，节约社会交易成本与时间，望购买了磋商文件而决定不参加本次磋商的供应商，在磋商响应文件递交截止时间的3日前，按《磋商邀请函》中的联系方式，以书面形式告知采购代理机构。对您的支持与配合，谨此致谢。</w:t>
      </w:r>
    </w:p>
    <w:p>
      <w:pPr>
        <w:numPr>
          <w:ilvl w:val="0"/>
          <w:numId w:val="9"/>
        </w:numPr>
        <w:spacing w:line="360" w:lineRule="auto"/>
        <w:ind w:left="180" w:firstLine="48" w:firstLineChars="20"/>
        <w:jc w:val="both"/>
        <w:rPr>
          <w:rFonts w:ascii="黑体" w:hAnsi="黑体" w:eastAsia="黑体" w:cs="黑体"/>
          <w:color w:val="auto"/>
          <w:highlight w:val="none"/>
        </w:rPr>
      </w:pPr>
      <w:r>
        <w:rPr>
          <w:rFonts w:hint="eastAsia" w:ascii="黑体" w:hAnsi="黑体" w:eastAsia="黑体" w:cs="黑体"/>
          <w:color w:val="auto"/>
          <w:highlight w:val="none"/>
        </w:rPr>
        <w:t>如需供应商支付的各种费用，如磋商文件售价、工程图纸押金、保证金和招标代理服务费等，磋商文件将书面详细告知，请供应商按磋商文件规定的方式和金额支付。</w:t>
      </w:r>
    </w:p>
    <w:p>
      <w:pPr>
        <w:jc w:val="center"/>
        <w:rPr>
          <w:rFonts w:hAnsi="宋体"/>
          <w:b/>
          <w:bCs/>
          <w:color w:val="auto"/>
          <w:sz w:val="32"/>
          <w:szCs w:val="32"/>
          <w:highlight w:val="none"/>
          <w:lang w:val="zh-CN"/>
        </w:rPr>
      </w:pPr>
    </w:p>
    <w:p>
      <w:pPr>
        <w:jc w:val="center"/>
        <w:rPr>
          <w:rFonts w:hAnsi="宋体"/>
          <w:b/>
          <w:bCs/>
          <w:color w:val="auto"/>
          <w:sz w:val="32"/>
          <w:szCs w:val="32"/>
          <w:highlight w:val="none"/>
          <w:lang w:val="zh-CN"/>
        </w:rPr>
      </w:pPr>
    </w:p>
    <w:p>
      <w:pPr>
        <w:jc w:val="center"/>
        <w:rPr>
          <w:rFonts w:hAnsi="宋体"/>
          <w:b/>
          <w:bCs/>
          <w:color w:val="auto"/>
          <w:sz w:val="32"/>
          <w:szCs w:val="32"/>
          <w:highlight w:val="none"/>
          <w:lang w:val="zh-CN"/>
        </w:rPr>
      </w:pPr>
    </w:p>
    <w:p>
      <w:pPr>
        <w:jc w:val="center"/>
        <w:rPr>
          <w:rFonts w:hAnsi="宋体"/>
          <w:b/>
          <w:bCs/>
          <w:color w:val="auto"/>
          <w:sz w:val="32"/>
          <w:szCs w:val="32"/>
          <w:highlight w:val="none"/>
          <w:lang w:val="zh-CN"/>
        </w:rPr>
      </w:pPr>
    </w:p>
    <w:p>
      <w:pPr>
        <w:jc w:val="center"/>
        <w:rPr>
          <w:rFonts w:hAnsi="宋体"/>
          <w:b/>
          <w:bCs/>
          <w:color w:val="auto"/>
          <w:sz w:val="32"/>
          <w:szCs w:val="32"/>
          <w:highlight w:val="none"/>
          <w:lang w:val="zh-CN"/>
        </w:rPr>
      </w:pPr>
    </w:p>
    <w:p>
      <w:pPr>
        <w:jc w:val="center"/>
        <w:rPr>
          <w:rFonts w:hAnsi="宋体"/>
          <w:b/>
          <w:bCs/>
          <w:color w:val="auto"/>
          <w:sz w:val="32"/>
          <w:szCs w:val="32"/>
          <w:highlight w:val="none"/>
          <w:lang w:val="zh-CN"/>
        </w:rPr>
      </w:pPr>
    </w:p>
    <w:p>
      <w:pPr>
        <w:jc w:val="center"/>
        <w:rPr>
          <w:rFonts w:hAnsi="宋体"/>
          <w:b/>
          <w:bCs/>
          <w:color w:val="auto"/>
          <w:sz w:val="32"/>
          <w:szCs w:val="32"/>
          <w:highlight w:val="none"/>
          <w:lang w:val="zh-CN"/>
        </w:rPr>
      </w:pPr>
    </w:p>
    <w:p>
      <w:pPr>
        <w:jc w:val="center"/>
        <w:rPr>
          <w:rFonts w:hAnsi="宋体"/>
          <w:b/>
          <w:bCs/>
          <w:color w:val="auto"/>
          <w:sz w:val="32"/>
          <w:szCs w:val="32"/>
          <w:highlight w:val="none"/>
          <w:lang w:val="zh-CN"/>
        </w:rPr>
      </w:pPr>
    </w:p>
    <w:p>
      <w:pPr>
        <w:jc w:val="center"/>
        <w:rPr>
          <w:color w:val="auto"/>
          <w:highlight w:val="none"/>
        </w:rPr>
      </w:pPr>
      <w:r>
        <w:rPr>
          <w:rFonts w:hAnsi="宋体"/>
          <w:b/>
          <w:bCs/>
          <w:color w:val="auto"/>
          <w:sz w:val="32"/>
          <w:szCs w:val="32"/>
          <w:highlight w:val="none"/>
          <w:lang w:val="zh-CN"/>
        </w:rPr>
        <w:t>目录</w:t>
      </w:r>
      <w:bookmarkStart w:id="2" w:name="_Toc396137229"/>
      <w:r>
        <w:rPr>
          <w:rFonts w:hAnsi="宋体"/>
          <w:b/>
          <w:bCs/>
          <w:caps/>
          <w:color w:val="auto"/>
          <w:sz w:val="21"/>
          <w:szCs w:val="21"/>
          <w:highlight w:val="none"/>
        </w:rPr>
        <w:fldChar w:fldCharType="begin"/>
      </w:r>
      <w:r>
        <w:rPr>
          <w:rStyle w:val="60"/>
          <w:rFonts w:hAnsi="宋体"/>
          <w:b/>
          <w:bCs/>
          <w:caps/>
          <w:color w:val="auto"/>
          <w:sz w:val="21"/>
          <w:szCs w:val="21"/>
          <w:highlight w:val="none"/>
        </w:rPr>
        <w:instrText xml:space="preserve"> TOC \o "1-3" \h \z \u </w:instrText>
      </w:r>
      <w:r>
        <w:rPr>
          <w:rFonts w:hAnsi="宋体"/>
          <w:b/>
          <w:bCs/>
          <w:caps/>
          <w:color w:val="auto"/>
          <w:sz w:val="21"/>
          <w:szCs w:val="21"/>
          <w:highlight w:val="none"/>
        </w:rPr>
        <w:fldChar w:fldCharType="separate"/>
      </w:r>
    </w:p>
    <w:p>
      <w:pPr>
        <w:pStyle w:val="36"/>
        <w:tabs>
          <w:tab w:val="right" w:leader="dot" w:pos="8730"/>
        </w:tabs>
        <w:spacing w:line="360" w:lineRule="auto"/>
        <w:jc w:val="center"/>
        <w:rPr>
          <w:color w:val="auto"/>
          <w:sz w:val="24"/>
          <w:szCs w:val="24"/>
          <w:highlight w:val="none"/>
        </w:rPr>
      </w:pPr>
      <w:r>
        <w:rPr>
          <w:color w:val="auto"/>
          <w:highlight w:val="none"/>
        </w:rPr>
        <w:fldChar w:fldCharType="begin"/>
      </w:r>
      <w:r>
        <w:rPr>
          <w:color w:val="auto"/>
          <w:highlight w:val="none"/>
        </w:rPr>
        <w:instrText xml:space="preserve"> HYPERLINK \l "_Toc27261" </w:instrText>
      </w:r>
      <w:r>
        <w:rPr>
          <w:color w:val="auto"/>
          <w:highlight w:val="none"/>
        </w:rPr>
        <w:fldChar w:fldCharType="separate"/>
      </w:r>
      <w:r>
        <w:rPr>
          <w:rFonts w:hAnsi="宋体"/>
          <w:color w:val="auto"/>
          <w:kern w:val="44"/>
          <w:sz w:val="24"/>
          <w:szCs w:val="24"/>
          <w:highlight w:val="none"/>
          <w:lang w:val="zh-CN"/>
        </w:rPr>
        <w:t>第一篇</w:t>
      </w:r>
      <w:r>
        <w:rPr>
          <w:rFonts w:hint="eastAsia" w:hAnsi="宋体"/>
          <w:color w:val="auto"/>
          <w:kern w:val="44"/>
          <w:sz w:val="24"/>
          <w:szCs w:val="24"/>
          <w:highlight w:val="none"/>
        </w:rPr>
        <w:t>磋商邀请书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_Toc27261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36"/>
        <w:tabs>
          <w:tab w:val="right" w:leader="dot" w:pos="8730"/>
        </w:tabs>
        <w:spacing w:line="360" w:lineRule="auto"/>
        <w:jc w:val="center"/>
        <w:rPr>
          <w:color w:val="auto"/>
          <w:sz w:val="24"/>
          <w:szCs w:val="24"/>
          <w:highlight w:val="none"/>
        </w:rPr>
      </w:pPr>
      <w:r>
        <w:rPr>
          <w:color w:val="auto"/>
          <w:highlight w:val="none"/>
        </w:rPr>
        <w:fldChar w:fldCharType="begin"/>
      </w:r>
      <w:r>
        <w:rPr>
          <w:color w:val="auto"/>
          <w:highlight w:val="none"/>
        </w:rPr>
        <w:instrText xml:space="preserve"> HYPERLINK \l "_Toc16634" </w:instrText>
      </w:r>
      <w:r>
        <w:rPr>
          <w:color w:val="auto"/>
          <w:highlight w:val="none"/>
        </w:rPr>
        <w:fldChar w:fldCharType="separate"/>
      </w:r>
      <w:r>
        <w:rPr>
          <w:rFonts w:hAnsi="宋体"/>
          <w:color w:val="auto"/>
          <w:kern w:val="44"/>
          <w:sz w:val="24"/>
          <w:szCs w:val="24"/>
          <w:highlight w:val="none"/>
          <w:lang w:val="zh-CN"/>
        </w:rPr>
        <w:t>第二篇</w:t>
      </w:r>
      <w:r>
        <w:rPr>
          <w:rFonts w:hint="eastAsia" w:hAnsi="宋体"/>
          <w:color w:val="auto"/>
          <w:kern w:val="44"/>
          <w:sz w:val="24"/>
          <w:szCs w:val="24"/>
          <w:highlight w:val="none"/>
          <w:lang w:val="zh-CN"/>
        </w:rPr>
        <w:t>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_Toc16634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pPr>
        <w:pStyle w:val="36"/>
        <w:tabs>
          <w:tab w:val="right" w:leader="dot" w:pos="8730"/>
        </w:tabs>
        <w:spacing w:line="360" w:lineRule="auto"/>
        <w:jc w:val="center"/>
        <w:rPr>
          <w:color w:val="auto"/>
          <w:sz w:val="24"/>
          <w:szCs w:val="24"/>
          <w:highlight w:val="none"/>
        </w:rPr>
      </w:pPr>
      <w:r>
        <w:rPr>
          <w:color w:val="auto"/>
          <w:highlight w:val="none"/>
        </w:rPr>
        <w:fldChar w:fldCharType="begin"/>
      </w:r>
      <w:r>
        <w:rPr>
          <w:color w:val="auto"/>
          <w:highlight w:val="none"/>
        </w:rPr>
        <w:instrText xml:space="preserve"> HYPERLINK \l "_Toc22751" </w:instrText>
      </w:r>
      <w:r>
        <w:rPr>
          <w:color w:val="auto"/>
          <w:highlight w:val="none"/>
        </w:rPr>
        <w:fldChar w:fldCharType="separate"/>
      </w:r>
      <w:r>
        <w:rPr>
          <w:rFonts w:hAnsi="宋体"/>
          <w:color w:val="auto"/>
          <w:kern w:val="44"/>
          <w:sz w:val="24"/>
          <w:szCs w:val="24"/>
          <w:highlight w:val="none"/>
          <w:lang w:val="zh-CN"/>
        </w:rPr>
        <w:t>第三篇</w:t>
      </w:r>
      <w:r>
        <w:rPr>
          <w:rFonts w:hint="eastAsia" w:hAnsi="宋体"/>
          <w:color w:val="auto"/>
          <w:kern w:val="44"/>
          <w:sz w:val="24"/>
          <w:szCs w:val="24"/>
          <w:highlight w:val="none"/>
          <w:lang w:val="zh-CN"/>
        </w:rPr>
        <w:t>用户需求书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_Toc22751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pPr>
        <w:pStyle w:val="36"/>
        <w:tabs>
          <w:tab w:val="right" w:leader="dot" w:pos="8730"/>
        </w:tabs>
        <w:spacing w:line="360" w:lineRule="auto"/>
        <w:jc w:val="center"/>
        <w:rPr>
          <w:color w:val="auto"/>
          <w:sz w:val="24"/>
          <w:szCs w:val="24"/>
          <w:highlight w:val="none"/>
        </w:rPr>
      </w:pPr>
      <w:r>
        <w:rPr>
          <w:color w:val="auto"/>
          <w:highlight w:val="none"/>
        </w:rPr>
        <w:fldChar w:fldCharType="begin"/>
      </w:r>
      <w:r>
        <w:rPr>
          <w:color w:val="auto"/>
          <w:highlight w:val="none"/>
        </w:rPr>
        <w:instrText xml:space="preserve"> HYPERLINK \l "_Toc13957" </w:instrText>
      </w:r>
      <w:r>
        <w:rPr>
          <w:color w:val="auto"/>
          <w:highlight w:val="none"/>
        </w:rPr>
        <w:fldChar w:fldCharType="separate"/>
      </w:r>
      <w:r>
        <w:rPr>
          <w:rFonts w:hAnsi="宋体"/>
          <w:color w:val="auto"/>
          <w:kern w:val="44"/>
          <w:sz w:val="24"/>
          <w:szCs w:val="24"/>
          <w:highlight w:val="none"/>
          <w:lang w:val="zh-CN"/>
        </w:rPr>
        <w:t>第四篇</w:t>
      </w:r>
      <w:r>
        <w:rPr>
          <w:rFonts w:hint="eastAsia" w:hAnsi="宋体"/>
          <w:color w:val="auto"/>
          <w:kern w:val="44"/>
          <w:sz w:val="24"/>
          <w:szCs w:val="24"/>
          <w:highlight w:val="none"/>
          <w:lang w:val="zh-CN"/>
        </w:rPr>
        <w:t>评标工作大纲</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_Toc13957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pPr>
        <w:pStyle w:val="36"/>
        <w:tabs>
          <w:tab w:val="right" w:leader="dot" w:pos="8730"/>
        </w:tabs>
        <w:spacing w:line="360" w:lineRule="auto"/>
        <w:jc w:val="center"/>
        <w:rPr>
          <w:color w:val="auto"/>
          <w:sz w:val="24"/>
          <w:szCs w:val="24"/>
          <w:highlight w:val="none"/>
        </w:rPr>
      </w:pPr>
      <w:r>
        <w:rPr>
          <w:color w:val="auto"/>
          <w:highlight w:val="none"/>
        </w:rPr>
        <w:fldChar w:fldCharType="begin"/>
      </w:r>
      <w:r>
        <w:rPr>
          <w:color w:val="auto"/>
          <w:highlight w:val="none"/>
        </w:rPr>
        <w:instrText xml:space="preserve"> HYPERLINK \l "_Toc15636" </w:instrText>
      </w:r>
      <w:r>
        <w:rPr>
          <w:color w:val="auto"/>
          <w:highlight w:val="none"/>
        </w:rPr>
        <w:fldChar w:fldCharType="separate"/>
      </w:r>
      <w:r>
        <w:rPr>
          <w:rFonts w:hAnsi="宋体"/>
          <w:color w:val="auto"/>
          <w:sz w:val="24"/>
          <w:szCs w:val="24"/>
          <w:highlight w:val="none"/>
        </w:rPr>
        <w:t>第五篇</w:t>
      </w:r>
      <w:r>
        <w:rPr>
          <w:rFonts w:hint="eastAsia" w:hAnsi="宋体"/>
          <w:color w:val="auto"/>
          <w:kern w:val="44"/>
          <w:sz w:val="24"/>
          <w:szCs w:val="24"/>
          <w:highlight w:val="none"/>
          <w:lang w:val="zh-CN"/>
        </w:rPr>
        <w:t>合同条款格式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_Toc15636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pPr>
        <w:pStyle w:val="36"/>
        <w:tabs>
          <w:tab w:val="right" w:leader="dot" w:pos="8730"/>
        </w:tabs>
        <w:spacing w:line="360" w:lineRule="auto"/>
        <w:jc w:val="center"/>
        <w:rPr>
          <w:color w:val="auto"/>
          <w:sz w:val="24"/>
          <w:szCs w:val="24"/>
          <w:highlight w:val="none"/>
        </w:rPr>
      </w:pPr>
      <w:r>
        <w:rPr>
          <w:color w:val="auto"/>
          <w:highlight w:val="none"/>
        </w:rPr>
        <w:fldChar w:fldCharType="begin"/>
      </w:r>
      <w:r>
        <w:rPr>
          <w:color w:val="auto"/>
          <w:highlight w:val="none"/>
        </w:rPr>
        <w:instrText xml:space="preserve"> HYPERLINK \l "_Toc8470" </w:instrText>
      </w:r>
      <w:r>
        <w:rPr>
          <w:color w:val="auto"/>
          <w:highlight w:val="none"/>
        </w:rPr>
        <w:fldChar w:fldCharType="separate"/>
      </w:r>
      <w:r>
        <w:rPr>
          <w:rFonts w:hint="eastAsia" w:hAnsi="宋体"/>
          <w:color w:val="auto"/>
          <w:kern w:val="44"/>
          <w:sz w:val="24"/>
          <w:szCs w:val="24"/>
          <w:highlight w:val="none"/>
          <w:lang w:val="zh-CN"/>
        </w:rPr>
        <w:t>第六篇磋商响应文件格式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_Toc8470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color w:val="auto"/>
          <w:sz w:val="24"/>
          <w:szCs w:val="24"/>
          <w:highlight w:val="none"/>
        </w:rPr>
        <w:fldChar w:fldCharType="end"/>
      </w:r>
    </w:p>
    <w:p>
      <w:pPr>
        <w:pStyle w:val="3"/>
        <w:keepNext/>
        <w:keepLines/>
        <w:pageBreakBefore/>
        <w:numPr>
          <w:ilvl w:val="0"/>
          <w:numId w:val="10"/>
        </w:numPr>
        <w:tabs>
          <w:tab w:val="left" w:pos="1080"/>
        </w:tabs>
        <w:spacing w:line="360" w:lineRule="auto"/>
        <w:ind w:left="1078" w:hanging="1077" w:hangingChars="449"/>
        <w:jc w:val="center"/>
        <w:rPr>
          <w:rFonts w:hAnsi="宋体"/>
          <w:b/>
          <w:bCs/>
          <w:color w:val="auto"/>
          <w:kern w:val="44"/>
          <w:sz w:val="28"/>
          <w:szCs w:val="28"/>
          <w:highlight w:val="none"/>
          <w:lang w:val="zh-CN"/>
        </w:rPr>
      </w:pPr>
      <w:r>
        <w:rPr>
          <w:color w:val="auto"/>
          <w:highlight w:val="none"/>
        </w:rPr>
        <w:fldChar w:fldCharType="end"/>
      </w:r>
      <w:bookmarkEnd w:id="2"/>
      <w:r>
        <w:rPr>
          <w:rFonts w:hint="eastAsia" w:hAnsi="宋体"/>
          <w:b/>
          <w:bCs/>
          <w:color w:val="auto"/>
          <w:kern w:val="44"/>
          <w:sz w:val="28"/>
          <w:szCs w:val="28"/>
          <w:highlight w:val="none"/>
        </w:rPr>
        <w:t>磋商邀请书</w:t>
      </w:r>
      <w:bookmarkEnd w:id="1"/>
    </w:p>
    <w:p>
      <w:pPr>
        <w:widowControl/>
        <w:tabs>
          <w:tab w:val="left" w:pos="-360"/>
        </w:tabs>
        <w:adjustRightInd/>
        <w:spacing w:line="360" w:lineRule="auto"/>
        <w:ind w:right="-34" w:firstLine="420" w:firstLineChars="200"/>
        <w:jc w:val="both"/>
        <w:textAlignment w:val="bottom"/>
        <w:rPr>
          <w:rFonts w:hAnsi="宋体"/>
          <w:color w:val="auto"/>
          <w:sz w:val="21"/>
          <w:szCs w:val="21"/>
          <w:highlight w:val="none"/>
        </w:rPr>
      </w:pPr>
      <w:r>
        <w:rPr>
          <w:rFonts w:hint="eastAsia" w:hAnsi="宋体"/>
          <w:color w:val="auto"/>
          <w:sz w:val="21"/>
          <w:szCs w:val="21"/>
          <w:highlight w:val="none"/>
        </w:rPr>
        <w:t>广东泰通伟业工程咨询有限公司（以下简称“采购代理机构”）受东莞市东实旗云投资有限公司（以下简称“采购人”）的委托，为旗云花园销售中心案场及展示区物业服务项目 (项目编号：TTWY-20040) 采购所需的服务。本项目采用竞争性磋商采购方式，欢迎合格供应商就本项目提交密封磋商。</w:t>
      </w:r>
    </w:p>
    <w:p>
      <w:pPr>
        <w:widowControl/>
        <w:numPr>
          <w:ilvl w:val="0"/>
          <w:numId w:val="11"/>
        </w:numPr>
        <w:adjustRightInd/>
        <w:spacing w:line="360" w:lineRule="auto"/>
        <w:rPr>
          <w:rFonts w:hAnsi="宋体"/>
          <w:color w:val="auto"/>
          <w:sz w:val="21"/>
          <w:szCs w:val="21"/>
          <w:highlight w:val="none"/>
        </w:rPr>
      </w:pPr>
      <w:r>
        <w:rPr>
          <w:rFonts w:hint="eastAsia" w:hAnsi="宋体"/>
          <w:b/>
          <w:bCs/>
          <w:color w:val="auto"/>
          <w:kern w:val="28"/>
          <w:sz w:val="21"/>
          <w:szCs w:val="21"/>
          <w:highlight w:val="none"/>
        </w:rPr>
        <w:t>邀请合格供应商就下列所有服务提交密封磋商：</w:t>
      </w:r>
    </w:p>
    <w:p>
      <w:pPr>
        <w:widowControl/>
        <w:numPr>
          <w:ilvl w:val="0"/>
          <w:numId w:val="12"/>
        </w:numPr>
        <w:tabs>
          <w:tab w:val="left" w:pos="-360"/>
        </w:tabs>
        <w:adjustRightInd/>
        <w:spacing w:line="360" w:lineRule="auto"/>
        <w:ind w:right="-34"/>
        <w:jc w:val="both"/>
        <w:textAlignment w:val="bottom"/>
        <w:rPr>
          <w:rFonts w:hAnsi="宋体"/>
          <w:color w:val="auto"/>
          <w:sz w:val="21"/>
          <w:szCs w:val="21"/>
          <w:highlight w:val="none"/>
        </w:rPr>
      </w:pPr>
      <w:r>
        <w:rPr>
          <w:rFonts w:hint="eastAsia" w:hAnsi="宋体"/>
          <w:color w:val="auto"/>
          <w:sz w:val="21"/>
          <w:szCs w:val="21"/>
          <w:highlight w:val="none"/>
        </w:rPr>
        <w:t>项目名称：旗云花园销售中心案场及展示区物业服务项目</w:t>
      </w:r>
    </w:p>
    <w:p>
      <w:pPr>
        <w:widowControl/>
        <w:numPr>
          <w:ilvl w:val="0"/>
          <w:numId w:val="12"/>
        </w:numPr>
        <w:tabs>
          <w:tab w:val="left" w:pos="-360"/>
        </w:tabs>
        <w:adjustRightInd/>
        <w:spacing w:line="360" w:lineRule="auto"/>
        <w:ind w:right="-34"/>
        <w:jc w:val="both"/>
        <w:textAlignment w:val="bottom"/>
        <w:rPr>
          <w:rFonts w:hAnsi="宋体"/>
          <w:color w:val="auto"/>
          <w:sz w:val="21"/>
          <w:szCs w:val="21"/>
          <w:highlight w:val="none"/>
        </w:rPr>
      </w:pPr>
      <w:r>
        <w:rPr>
          <w:rFonts w:hint="eastAsia" w:hAnsi="宋体"/>
          <w:color w:val="auto"/>
          <w:sz w:val="21"/>
          <w:szCs w:val="21"/>
          <w:highlight w:val="none"/>
        </w:rPr>
        <w:t>项目编号：TTWY-20040</w:t>
      </w:r>
    </w:p>
    <w:p>
      <w:pPr>
        <w:widowControl/>
        <w:numPr>
          <w:ilvl w:val="0"/>
          <w:numId w:val="12"/>
        </w:numPr>
        <w:tabs>
          <w:tab w:val="left" w:pos="-360"/>
        </w:tabs>
        <w:adjustRightInd/>
        <w:spacing w:line="360" w:lineRule="auto"/>
        <w:ind w:right="-34"/>
        <w:jc w:val="both"/>
        <w:textAlignment w:val="bottom"/>
        <w:rPr>
          <w:rFonts w:hAnsi="宋体"/>
          <w:color w:val="auto"/>
          <w:sz w:val="21"/>
          <w:szCs w:val="21"/>
          <w:highlight w:val="none"/>
        </w:rPr>
      </w:pPr>
      <w:r>
        <w:rPr>
          <w:rFonts w:hint="eastAsia" w:hAnsi="宋体"/>
          <w:color w:val="auto"/>
          <w:sz w:val="21"/>
          <w:szCs w:val="21"/>
          <w:highlight w:val="none"/>
        </w:rPr>
        <w:t>项目预算金额</w:t>
      </w:r>
      <w:r>
        <w:rPr>
          <w:rFonts w:hint="eastAsia" w:hAnsi="宋体"/>
          <w:color w:val="auto"/>
          <w:sz w:val="21"/>
          <w:szCs w:val="21"/>
          <w:highlight w:val="none"/>
          <w:lang w:eastAsia="zh-CN"/>
        </w:rPr>
        <w:t>（含税）</w:t>
      </w:r>
      <w:r>
        <w:rPr>
          <w:rFonts w:hint="eastAsia" w:hAnsi="宋体"/>
          <w:color w:val="auto"/>
          <w:sz w:val="21"/>
          <w:szCs w:val="21"/>
          <w:highlight w:val="none"/>
        </w:rPr>
        <w:t>：¥2,400,000.00（人民币贰佰肆拾万元）。</w:t>
      </w:r>
    </w:p>
    <w:p>
      <w:pPr>
        <w:widowControl/>
        <w:numPr>
          <w:ilvl w:val="0"/>
          <w:numId w:val="12"/>
        </w:numPr>
        <w:tabs>
          <w:tab w:val="left" w:pos="-360"/>
        </w:tabs>
        <w:adjustRightInd/>
        <w:spacing w:line="360" w:lineRule="auto"/>
        <w:ind w:right="-34"/>
        <w:jc w:val="both"/>
        <w:textAlignment w:val="bottom"/>
        <w:rPr>
          <w:rFonts w:hAnsi="宋体"/>
          <w:color w:val="auto"/>
          <w:sz w:val="21"/>
          <w:szCs w:val="21"/>
          <w:highlight w:val="none"/>
        </w:rPr>
      </w:pPr>
      <w:r>
        <w:rPr>
          <w:rFonts w:hint="eastAsia" w:hAnsi="宋体"/>
          <w:color w:val="auto"/>
          <w:sz w:val="21"/>
          <w:szCs w:val="21"/>
          <w:highlight w:val="none"/>
        </w:rPr>
        <w:t>项目需求：详见磋商文件第三篇用户需求书。</w:t>
      </w:r>
    </w:p>
    <w:p>
      <w:pPr>
        <w:widowControl/>
        <w:adjustRightInd/>
        <w:spacing w:line="360" w:lineRule="auto"/>
        <w:rPr>
          <w:rFonts w:hAnsi="宋体"/>
          <w:b/>
          <w:bCs/>
          <w:color w:val="auto"/>
          <w:kern w:val="28"/>
          <w:sz w:val="21"/>
          <w:szCs w:val="21"/>
          <w:highlight w:val="none"/>
        </w:rPr>
      </w:pPr>
      <w:r>
        <w:rPr>
          <w:rFonts w:hint="eastAsia" w:hAnsi="宋体"/>
          <w:b/>
          <w:bCs/>
          <w:color w:val="auto"/>
          <w:kern w:val="28"/>
          <w:sz w:val="21"/>
          <w:szCs w:val="21"/>
          <w:highlight w:val="none"/>
          <w:lang w:val="zh-CN"/>
        </w:rPr>
        <w:t>二、供应商须满足以下资格条件</w:t>
      </w:r>
      <w:r>
        <w:rPr>
          <w:rFonts w:hint="eastAsia" w:hAnsi="宋体"/>
          <w:b/>
          <w:bCs/>
          <w:color w:val="auto"/>
          <w:kern w:val="28"/>
          <w:sz w:val="21"/>
          <w:szCs w:val="21"/>
          <w:highlight w:val="none"/>
        </w:rPr>
        <w:t>：</w:t>
      </w:r>
    </w:p>
    <w:p>
      <w:pPr>
        <w:widowControl/>
        <w:numPr>
          <w:ilvl w:val="0"/>
          <w:numId w:val="13"/>
        </w:numPr>
        <w:adjustRightInd/>
        <w:spacing w:line="360" w:lineRule="auto"/>
        <w:ind w:right="53"/>
        <w:textAlignment w:val="bottom"/>
        <w:rPr>
          <w:rFonts w:hAnsi="宋体"/>
          <w:color w:val="auto"/>
          <w:kern w:val="2"/>
          <w:sz w:val="21"/>
          <w:szCs w:val="21"/>
          <w:highlight w:val="none"/>
        </w:rPr>
      </w:pPr>
      <w:bookmarkStart w:id="3" w:name="_Toc396137230"/>
      <w:r>
        <w:rPr>
          <w:rFonts w:hint="eastAsia" w:hAnsi="宋体"/>
          <w:color w:val="auto"/>
          <w:kern w:val="2"/>
          <w:sz w:val="21"/>
          <w:szCs w:val="21"/>
          <w:highlight w:val="none"/>
        </w:rPr>
        <w:t>供应商须为在中华人民共和国境内登记注册的具有独立承担民事责任能力的法人或其他组织；</w:t>
      </w:r>
    </w:p>
    <w:p>
      <w:pPr>
        <w:widowControl/>
        <w:adjustRightInd/>
        <w:spacing w:line="360" w:lineRule="auto"/>
        <w:ind w:left="420" w:right="53"/>
        <w:textAlignment w:val="bottom"/>
        <w:rPr>
          <w:rFonts w:hAnsi="宋体"/>
          <w:color w:val="auto"/>
          <w:kern w:val="2"/>
          <w:sz w:val="21"/>
          <w:szCs w:val="21"/>
          <w:highlight w:val="none"/>
        </w:rPr>
      </w:pPr>
      <w:r>
        <w:rPr>
          <w:rFonts w:hint="eastAsia" w:hAnsi="宋体"/>
          <w:color w:val="auto"/>
          <w:kern w:val="2"/>
          <w:sz w:val="21"/>
          <w:szCs w:val="21"/>
          <w:highlight w:val="none"/>
        </w:rPr>
        <w:t>（二）供应商的单位负责人为同一人或者存在直接控股、管理关系的不同供应商，不得参加同一合同项下的采购活动。</w:t>
      </w:r>
    </w:p>
    <w:p>
      <w:pPr>
        <w:widowControl/>
        <w:adjustRightInd/>
        <w:spacing w:line="360" w:lineRule="auto"/>
        <w:ind w:left="420" w:right="53"/>
        <w:textAlignment w:val="bottom"/>
        <w:rPr>
          <w:rFonts w:hAnsi="宋体"/>
          <w:color w:val="auto"/>
          <w:kern w:val="2"/>
          <w:sz w:val="21"/>
          <w:szCs w:val="21"/>
          <w:highlight w:val="none"/>
        </w:rPr>
      </w:pPr>
      <w:r>
        <w:rPr>
          <w:rFonts w:hint="eastAsia" w:hAnsi="宋体"/>
          <w:color w:val="auto"/>
          <w:kern w:val="2"/>
          <w:sz w:val="21"/>
          <w:szCs w:val="21"/>
          <w:highlight w:val="none"/>
        </w:rPr>
        <w:t>（三）供应商参加采购活动前三年内，在经营活动中没有重大违法记录。（须提供书面声明）；</w:t>
      </w:r>
    </w:p>
    <w:p>
      <w:pPr>
        <w:widowControl/>
        <w:adjustRightInd/>
        <w:spacing w:line="360" w:lineRule="auto"/>
        <w:ind w:left="420" w:right="53"/>
        <w:textAlignment w:val="bottom"/>
        <w:rPr>
          <w:rFonts w:hAnsi="宋体"/>
          <w:color w:val="auto"/>
          <w:kern w:val="2"/>
          <w:sz w:val="21"/>
          <w:szCs w:val="21"/>
          <w:highlight w:val="none"/>
        </w:rPr>
      </w:pPr>
      <w:r>
        <w:rPr>
          <w:rFonts w:hint="eastAsia" w:hAnsi="宋体"/>
          <w:color w:val="auto"/>
          <w:kern w:val="2"/>
          <w:sz w:val="21"/>
          <w:szCs w:val="21"/>
          <w:highlight w:val="none"/>
        </w:rPr>
        <w:t>（四）供应商未被列入“信用中国”网站(www.creditchina.gov.cn)“记录失信被执行人或重大税收违法案件当事人名单或政府采购严重违法失信行为”记录名单（以采购代理机构投标截止日当天在“信用中国”网站（www.creditchina.gov.cn）查询结果为准，如相关失信记录已失效，供应商需提供相关证明资料）。</w:t>
      </w:r>
    </w:p>
    <w:p>
      <w:pPr>
        <w:widowControl/>
        <w:adjustRightInd/>
        <w:spacing w:line="360" w:lineRule="auto"/>
        <w:ind w:left="420" w:right="53"/>
        <w:textAlignment w:val="bottom"/>
        <w:rPr>
          <w:rFonts w:hAnsi="宋体"/>
          <w:color w:val="auto"/>
          <w:kern w:val="2"/>
          <w:sz w:val="21"/>
          <w:szCs w:val="21"/>
          <w:highlight w:val="none"/>
        </w:rPr>
      </w:pPr>
      <w:r>
        <w:rPr>
          <w:rFonts w:hint="eastAsia" w:hAnsi="宋体"/>
          <w:color w:val="auto"/>
          <w:kern w:val="2"/>
          <w:sz w:val="21"/>
          <w:szCs w:val="21"/>
          <w:highlight w:val="none"/>
        </w:rPr>
        <w:t>（五）本项目不接受联合体投标。</w:t>
      </w:r>
    </w:p>
    <w:p>
      <w:pPr>
        <w:spacing w:line="360" w:lineRule="auto"/>
        <w:rPr>
          <w:rFonts w:hAnsi="宋体"/>
          <w:b/>
          <w:bCs/>
          <w:color w:val="auto"/>
          <w:sz w:val="21"/>
          <w:szCs w:val="21"/>
          <w:highlight w:val="none"/>
        </w:rPr>
      </w:pPr>
      <w:r>
        <w:rPr>
          <w:rFonts w:hint="eastAsia" w:hAnsi="宋体"/>
          <w:b/>
          <w:bCs/>
          <w:color w:val="auto"/>
          <w:sz w:val="21"/>
          <w:szCs w:val="21"/>
          <w:highlight w:val="none"/>
        </w:rPr>
        <w:t>三、获取磋商文件：</w:t>
      </w:r>
    </w:p>
    <w:p>
      <w:pPr>
        <w:widowControl/>
        <w:adjustRightInd/>
        <w:spacing w:line="360" w:lineRule="auto"/>
        <w:ind w:left="420" w:right="53"/>
        <w:textAlignment w:val="bottom"/>
        <w:rPr>
          <w:rFonts w:hAnsi="宋体"/>
          <w:color w:val="auto"/>
          <w:kern w:val="28"/>
          <w:sz w:val="21"/>
          <w:szCs w:val="21"/>
          <w:highlight w:val="none"/>
        </w:rPr>
      </w:pPr>
      <w:r>
        <w:rPr>
          <w:rFonts w:hint="eastAsia" w:hAnsi="宋体"/>
          <w:color w:val="auto"/>
          <w:kern w:val="28"/>
          <w:sz w:val="21"/>
          <w:szCs w:val="21"/>
          <w:highlight w:val="none"/>
        </w:rPr>
        <w:t>本项目无须报名，由供应商自行网上下载。下载地址：东莞市公共资源交易网-其他公告栏目（http://dgzb.com.cn）、广东省招标投标监督网（http://zbtb.gd.gov.cn）；中国采购与招标网（www.chinabidding.com.cn）、东莞实业投资控股集团有限公司-招标采购栏目（www.dgsy.com.cn）、广东泰通伟业工程咨询有限公司官网-招标采购栏目（www.weiyecoltd.com）。</w:t>
      </w:r>
    </w:p>
    <w:p>
      <w:pPr>
        <w:pStyle w:val="28"/>
        <w:spacing w:line="360" w:lineRule="auto"/>
        <w:rPr>
          <w:rFonts w:hAnsi="宋体"/>
          <w:b/>
          <w:bCs/>
          <w:color w:val="auto"/>
          <w:szCs w:val="21"/>
          <w:highlight w:val="none"/>
        </w:rPr>
      </w:pPr>
      <w:r>
        <w:rPr>
          <w:rFonts w:hint="eastAsia" w:hAnsi="宋体"/>
          <w:b/>
          <w:bCs/>
          <w:color w:val="auto"/>
          <w:szCs w:val="21"/>
          <w:highlight w:val="none"/>
        </w:rPr>
        <w:t>四、接收响应文件的时间、地点、截止时间，开启响应文件时间、地点</w:t>
      </w:r>
      <w:r>
        <w:rPr>
          <w:rFonts w:hint="eastAsia" w:hAnsi="宋体"/>
          <w:b/>
          <w:color w:val="auto"/>
          <w:szCs w:val="21"/>
          <w:highlight w:val="none"/>
        </w:rPr>
        <w:t>：</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1、接收响应文件的时间：2020年</w:t>
      </w:r>
      <w:r>
        <w:rPr>
          <w:rFonts w:hint="eastAsia" w:hAnsi="宋体"/>
          <w:color w:val="auto"/>
          <w:sz w:val="21"/>
          <w:szCs w:val="21"/>
          <w:highlight w:val="none"/>
          <w:lang w:val="en-US" w:eastAsia="zh-CN"/>
        </w:rPr>
        <w:t>7</w:t>
      </w:r>
      <w:r>
        <w:rPr>
          <w:rFonts w:hint="eastAsia" w:hAnsi="宋体"/>
          <w:color w:val="auto"/>
          <w:sz w:val="21"/>
          <w:szCs w:val="21"/>
          <w:highlight w:val="none"/>
        </w:rPr>
        <w:t>月</w:t>
      </w:r>
      <w:r>
        <w:rPr>
          <w:rFonts w:hint="eastAsia" w:hAnsi="宋体"/>
          <w:color w:val="auto"/>
          <w:sz w:val="21"/>
          <w:szCs w:val="21"/>
          <w:highlight w:val="none"/>
          <w:lang w:val="en-US" w:eastAsia="zh-CN"/>
        </w:rPr>
        <w:t>7</w:t>
      </w:r>
      <w:r>
        <w:rPr>
          <w:rFonts w:hint="eastAsia" w:hAnsi="宋体"/>
          <w:color w:val="auto"/>
          <w:sz w:val="21"/>
          <w:szCs w:val="21"/>
          <w:highlight w:val="none"/>
        </w:rPr>
        <w:t>日上午9:</w:t>
      </w:r>
      <w:r>
        <w:rPr>
          <w:rFonts w:hint="eastAsia" w:hAnsi="宋体"/>
          <w:color w:val="auto"/>
          <w:sz w:val="21"/>
          <w:szCs w:val="21"/>
          <w:highlight w:val="none"/>
          <w:lang w:val="en-US" w:eastAsia="zh-CN"/>
        </w:rPr>
        <w:t>3</w:t>
      </w:r>
      <w:r>
        <w:rPr>
          <w:rFonts w:hint="eastAsia" w:hAnsi="宋体"/>
          <w:color w:val="auto"/>
          <w:sz w:val="21"/>
          <w:szCs w:val="21"/>
          <w:highlight w:val="none"/>
        </w:rPr>
        <w:t>0～</w:t>
      </w:r>
      <w:r>
        <w:rPr>
          <w:rFonts w:hint="eastAsia" w:hAnsi="宋体"/>
          <w:color w:val="auto"/>
          <w:sz w:val="21"/>
          <w:szCs w:val="21"/>
          <w:highlight w:val="none"/>
          <w:lang w:val="en-US" w:eastAsia="zh-CN"/>
        </w:rPr>
        <w:t>10</w:t>
      </w:r>
      <w:r>
        <w:rPr>
          <w:rFonts w:hint="eastAsia" w:hAnsi="宋体"/>
          <w:color w:val="auto"/>
          <w:sz w:val="21"/>
          <w:szCs w:val="21"/>
          <w:highlight w:val="none"/>
        </w:rPr>
        <w:t>:</w:t>
      </w:r>
      <w:r>
        <w:rPr>
          <w:rFonts w:hint="eastAsia" w:hAnsi="宋体"/>
          <w:color w:val="auto"/>
          <w:sz w:val="21"/>
          <w:szCs w:val="21"/>
          <w:highlight w:val="none"/>
          <w:lang w:val="en-US" w:eastAsia="zh-CN"/>
        </w:rPr>
        <w:t>0</w:t>
      </w:r>
      <w:r>
        <w:rPr>
          <w:rFonts w:hint="eastAsia" w:hAnsi="宋体"/>
          <w:color w:val="auto"/>
          <w:sz w:val="21"/>
          <w:szCs w:val="21"/>
          <w:highlight w:val="none"/>
        </w:rPr>
        <w:t>0。</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2、接收响应文件截止时间及开启响应文件时间：2020年</w:t>
      </w:r>
      <w:r>
        <w:rPr>
          <w:rFonts w:hint="eastAsia" w:hAnsi="宋体"/>
          <w:color w:val="auto"/>
          <w:sz w:val="21"/>
          <w:szCs w:val="21"/>
          <w:highlight w:val="none"/>
          <w:lang w:val="en-US" w:eastAsia="zh-CN"/>
        </w:rPr>
        <w:t>7</w:t>
      </w:r>
      <w:r>
        <w:rPr>
          <w:rFonts w:hint="eastAsia" w:hAnsi="宋体"/>
          <w:color w:val="auto"/>
          <w:sz w:val="21"/>
          <w:szCs w:val="21"/>
          <w:highlight w:val="none"/>
        </w:rPr>
        <w:t>月</w:t>
      </w:r>
      <w:r>
        <w:rPr>
          <w:rFonts w:hint="eastAsia" w:hAnsi="宋体"/>
          <w:color w:val="auto"/>
          <w:sz w:val="21"/>
          <w:szCs w:val="21"/>
          <w:highlight w:val="none"/>
          <w:lang w:val="en-US" w:eastAsia="zh-CN"/>
        </w:rPr>
        <w:t>7</w:t>
      </w:r>
      <w:bookmarkStart w:id="262" w:name="_GoBack"/>
      <w:bookmarkEnd w:id="262"/>
      <w:r>
        <w:rPr>
          <w:rFonts w:hint="eastAsia" w:hAnsi="宋体"/>
          <w:color w:val="auto"/>
          <w:sz w:val="21"/>
          <w:szCs w:val="21"/>
          <w:highlight w:val="none"/>
        </w:rPr>
        <w:t>日上午</w:t>
      </w:r>
      <w:r>
        <w:rPr>
          <w:rFonts w:hint="eastAsia" w:hAnsi="宋体"/>
          <w:color w:val="auto"/>
          <w:sz w:val="21"/>
          <w:szCs w:val="21"/>
          <w:highlight w:val="none"/>
          <w:lang w:val="en-US" w:eastAsia="zh-CN"/>
        </w:rPr>
        <w:t>10</w:t>
      </w:r>
      <w:r>
        <w:rPr>
          <w:rFonts w:hint="eastAsia" w:hAnsi="宋体"/>
          <w:color w:val="auto"/>
          <w:sz w:val="21"/>
          <w:szCs w:val="21"/>
          <w:highlight w:val="none"/>
        </w:rPr>
        <w:t>:</w:t>
      </w:r>
      <w:r>
        <w:rPr>
          <w:rFonts w:hint="eastAsia" w:hAnsi="宋体"/>
          <w:color w:val="auto"/>
          <w:sz w:val="21"/>
          <w:szCs w:val="21"/>
          <w:highlight w:val="none"/>
          <w:lang w:val="en-US" w:eastAsia="zh-CN"/>
        </w:rPr>
        <w:t>0</w:t>
      </w:r>
      <w:r>
        <w:rPr>
          <w:rFonts w:hint="eastAsia" w:hAnsi="宋体"/>
          <w:color w:val="auto"/>
          <w:sz w:val="21"/>
          <w:szCs w:val="21"/>
          <w:highlight w:val="none"/>
        </w:rPr>
        <w:t>0。</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3、接收响应文件地点：东莞市东城莞龙路下桥银门街一号办公楼六楼618室。</w:t>
      </w:r>
    </w:p>
    <w:p>
      <w:pPr>
        <w:spacing w:line="360" w:lineRule="auto"/>
        <w:rPr>
          <w:rFonts w:hAnsi="宋体"/>
          <w:b/>
          <w:bCs/>
          <w:color w:val="auto"/>
          <w:sz w:val="21"/>
          <w:szCs w:val="21"/>
          <w:highlight w:val="none"/>
        </w:rPr>
      </w:pPr>
      <w:r>
        <w:rPr>
          <w:rFonts w:hint="eastAsia" w:hAnsi="宋体"/>
          <w:b/>
          <w:bCs/>
          <w:color w:val="auto"/>
          <w:sz w:val="21"/>
          <w:szCs w:val="21"/>
          <w:highlight w:val="none"/>
        </w:rPr>
        <w:t>五、</w:t>
      </w:r>
      <w:r>
        <w:rPr>
          <w:rFonts w:hint="eastAsia" w:hAnsi="宋体"/>
          <w:b/>
          <w:color w:val="auto"/>
          <w:sz w:val="21"/>
          <w:szCs w:val="21"/>
          <w:highlight w:val="none"/>
        </w:rPr>
        <w:t>采购代理机构</w:t>
      </w:r>
      <w:r>
        <w:rPr>
          <w:rFonts w:hint="eastAsia" w:hAnsi="宋体"/>
          <w:b/>
          <w:bCs/>
          <w:color w:val="auto"/>
          <w:sz w:val="21"/>
          <w:szCs w:val="21"/>
          <w:highlight w:val="none"/>
        </w:rPr>
        <w:t>及采购人</w:t>
      </w:r>
      <w:r>
        <w:rPr>
          <w:rFonts w:hint="eastAsia" w:hAnsi="宋体"/>
          <w:b/>
          <w:color w:val="auto"/>
          <w:sz w:val="21"/>
          <w:szCs w:val="21"/>
          <w:highlight w:val="none"/>
        </w:rPr>
        <w:t>的地址和联系方式</w:t>
      </w:r>
      <w:r>
        <w:rPr>
          <w:rFonts w:hint="eastAsia" w:hAnsi="宋体"/>
          <w:b/>
          <w:bCs/>
          <w:color w:val="auto"/>
          <w:sz w:val="21"/>
          <w:szCs w:val="21"/>
          <w:highlight w:val="none"/>
        </w:rPr>
        <w:t>：</w:t>
      </w:r>
    </w:p>
    <w:p>
      <w:pPr>
        <w:spacing w:line="360" w:lineRule="auto"/>
        <w:ind w:right="-34" w:firstLine="424" w:firstLineChars="202"/>
        <w:jc w:val="both"/>
        <w:rPr>
          <w:rFonts w:hAnsi="宋体"/>
          <w:color w:val="auto"/>
          <w:sz w:val="21"/>
          <w:szCs w:val="21"/>
          <w:highlight w:val="none"/>
        </w:rPr>
      </w:pPr>
      <w:r>
        <w:rPr>
          <w:rFonts w:hint="eastAsia" w:hAnsi="宋体"/>
          <w:color w:val="auto"/>
          <w:sz w:val="21"/>
          <w:szCs w:val="21"/>
          <w:highlight w:val="none"/>
        </w:rPr>
        <w:t>采购代理机构：</w:t>
      </w:r>
      <w:r>
        <w:rPr>
          <w:rFonts w:hAnsi="宋体"/>
          <w:color w:val="auto"/>
          <w:sz w:val="21"/>
          <w:szCs w:val="21"/>
          <w:highlight w:val="none"/>
        </w:rPr>
        <w:t>广东泰通伟业工程咨询有限公司</w:t>
      </w:r>
    </w:p>
    <w:p>
      <w:pPr>
        <w:spacing w:line="360" w:lineRule="auto"/>
        <w:ind w:right="-34" w:firstLine="424" w:firstLineChars="202"/>
        <w:jc w:val="both"/>
        <w:rPr>
          <w:rFonts w:hAnsi="宋体"/>
          <w:color w:val="auto"/>
          <w:sz w:val="21"/>
          <w:szCs w:val="21"/>
          <w:highlight w:val="none"/>
        </w:rPr>
      </w:pPr>
      <w:r>
        <w:rPr>
          <w:rFonts w:hAnsi="宋体"/>
          <w:color w:val="auto"/>
          <w:sz w:val="21"/>
          <w:szCs w:val="21"/>
          <w:highlight w:val="none"/>
        </w:rPr>
        <w:t>地    址：</w:t>
      </w:r>
      <w:r>
        <w:rPr>
          <w:rFonts w:hint="eastAsia" w:hAnsi="宋体"/>
          <w:color w:val="auto"/>
          <w:sz w:val="21"/>
          <w:szCs w:val="21"/>
          <w:highlight w:val="none"/>
        </w:rPr>
        <w:t>东莞市东城莞龙路下桥银门街一号办公楼七楼</w:t>
      </w:r>
    </w:p>
    <w:p>
      <w:pPr>
        <w:spacing w:line="360" w:lineRule="auto"/>
        <w:ind w:right="-34" w:firstLine="424" w:firstLineChars="202"/>
        <w:jc w:val="both"/>
        <w:rPr>
          <w:rFonts w:hAnsi="宋体"/>
          <w:color w:val="auto"/>
          <w:sz w:val="21"/>
          <w:szCs w:val="21"/>
          <w:highlight w:val="none"/>
        </w:rPr>
      </w:pPr>
      <w:r>
        <w:rPr>
          <w:rFonts w:hint="eastAsia" w:hAnsi="宋体"/>
          <w:color w:val="auto"/>
          <w:sz w:val="21"/>
          <w:szCs w:val="21"/>
          <w:highlight w:val="none"/>
        </w:rPr>
        <w:t>项目</w:t>
      </w:r>
      <w:r>
        <w:rPr>
          <w:rFonts w:hAnsi="宋体"/>
          <w:color w:val="auto"/>
          <w:sz w:val="21"/>
          <w:szCs w:val="21"/>
          <w:highlight w:val="none"/>
        </w:rPr>
        <w:t>联系人:</w:t>
      </w:r>
      <w:r>
        <w:rPr>
          <w:rFonts w:hint="eastAsia" w:hAnsi="宋体"/>
          <w:color w:val="auto"/>
          <w:sz w:val="21"/>
          <w:szCs w:val="21"/>
          <w:highlight w:val="none"/>
        </w:rPr>
        <w:t xml:space="preserve"> 罗小姐</w:t>
      </w:r>
    </w:p>
    <w:p>
      <w:pPr>
        <w:spacing w:line="360" w:lineRule="auto"/>
        <w:ind w:right="-34" w:firstLine="424" w:firstLineChars="202"/>
        <w:jc w:val="both"/>
        <w:rPr>
          <w:rFonts w:hAnsi="宋体"/>
          <w:color w:val="auto"/>
          <w:sz w:val="21"/>
          <w:szCs w:val="21"/>
          <w:highlight w:val="none"/>
        </w:rPr>
      </w:pPr>
      <w:r>
        <w:rPr>
          <w:rFonts w:hAnsi="宋体"/>
          <w:color w:val="auto"/>
          <w:sz w:val="21"/>
          <w:szCs w:val="21"/>
          <w:highlight w:val="none"/>
        </w:rPr>
        <w:t>电    话：0769</w:t>
      </w:r>
      <w:r>
        <w:rPr>
          <w:rFonts w:hint="eastAsia" w:hAnsi="宋体"/>
          <w:color w:val="auto"/>
          <w:sz w:val="21"/>
          <w:szCs w:val="21"/>
          <w:highlight w:val="none"/>
        </w:rPr>
        <w:t>-22652033</w:t>
      </w:r>
    </w:p>
    <w:p>
      <w:pPr>
        <w:spacing w:line="360" w:lineRule="auto"/>
        <w:ind w:right="-34" w:firstLine="424" w:firstLineChars="202"/>
        <w:jc w:val="both"/>
        <w:rPr>
          <w:rFonts w:hAnsi="宋体"/>
          <w:color w:val="auto"/>
          <w:sz w:val="21"/>
          <w:szCs w:val="21"/>
          <w:highlight w:val="none"/>
        </w:rPr>
      </w:pPr>
      <w:r>
        <w:rPr>
          <w:rFonts w:hint="eastAsia" w:hAnsi="宋体"/>
          <w:color w:val="auto"/>
          <w:sz w:val="21"/>
          <w:szCs w:val="21"/>
          <w:highlight w:val="none"/>
        </w:rPr>
        <w:t>邮    箱</w:t>
      </w:r>
      <w:r>
        <w:rPr>
          <w:rFonts w:hAnsi="宋体"/>
          <w:color w:val="auto"/>
          <w:sz w:val="21"/>
          <w:szCs w:val="21"/>
          <w:highlight w:val="none"/>
        </w:rPr>
        <w:t>：</w:t>
      </w:r>
      <w:r>
        <w:rPr>
          <w:rFonts w:hint="eastAsia" w:hAnsi="宋体"/>
          <w:color w:val="auto"/>
          <w:sz w:val="21"/>
          <w:szCs w:val="21"/>
          <w:highlight w:val="none"/>
        </w:rPr>
        <w:t>WYZFCG@126.com</w:t>
      </w:r>
    </w:p>
    <w:p>
      <w:pPr>
        <w:spacing w:line="360" w:lineRule="auto"/>
        <w:ind w:right="-34" w:firstLine="424" w:firstLineChars="202"/>
        <w:jc w:val="both"/>
        <w:rPr>
          <w:rFonts w:hAnsi="宋体"/>
          <w:color w:val="auto"/>
          <w:sz w:val="21"/>
          <w:szCs w:val="21"/>
          <w:highlight w:val="none"/>
        </w:rPr>
      </w:pPr>
      <w:r>
        <w:rPr>
          <w:rFonts w:hint="eastAsia" w:hAnsi="宋体"/>
          <w:color w:val="auto"/>
          <w:sz w:val="21"/>
          <w:szCs w:val="21"/>
          <w:highlight w:val="none"/>
        </w:rPr>
        <w:t>采 购 人：东莞市东实旗云投资有限公司</w:t>
      </w:r>
    </w:p>
    <w:p>
      <w:pPr>
        <w:spacing w:line="360" w:lineRule="auto"/>
        <w:ind w:right="-34" w:firstLine="424" w:firstLineChars="202"/>
        <w:jc w:val="both"/>
        <w:rPr>
          <w:rFonts w:hAnsi="宋体"/>
          <w:color w:val="auto"/>
          <w:sz w:val="21"/>
          <w:szCs w:val="21"/>
          <w:highlight w:val="none"/>
        </w:rPr>
      </w:pPr>
      <w:r>
        <w:rPr>
          <w:rFonts w:hAnsi="宋体"/>
          <w:color w:val="auto"/>
          <w:sz w:val="21"/>
          <w:szCs w:val="21"/>
          <w:highlight w:val="none"/>
        </w:rPr>
        <w:t>地    址：</w:t>
      </w:r>
      <w:r>
        <w:rPr>
          <w:rFonts w:hint="eastAsia" w:hAnsi="宋体"/>
          <w:color w:val="auto"/>
          <w:sz w:val="21"/>
          <w:szCs w:val="21"/>
          <w:highlight w:val="none"/>
        </w:rPr>
        <w:t>东莞市东城区八一路机关二号大院9号楼</w:t>
      </w:r>
    </w:p>
    <w:p>
      <w:pPr>
        <w:spacing w:line="360" w:lineRule="auto"/>
        <w:ind w:right="-34" w:firstLine="424" w:firstLineChars="202"/>
        <w:jc w:val="both"/>
        <w:rPr>
          <w:rFonts w:hAnsi="宋体"/>
          <w:color w:val="auto"/>
          <w:sz w:val="21"/>
          <w:szCs w:val="21"/>
          <w:highlight w:val="none"/>
        </w:rPr>
      </w:pPr>
      <w:r>
        <w:rPr>
          <w:rFonts w:hAnsi="宋体"/>
          <w:color w:val="auto"/>
          <w:sz w:val="21"/>
          <w:szCs w:val="21"/>
          <w:highlight w:val="none"/>
        </w:rPr>
        <w:t>联 系 人:林工</w:t>
      </w:r>
    </w:p>
    <w:p>
      <w:pPr>
        <w:spacing w:line="360" w:lineRule="auto"/>
        <w:ind w:right="-34" w:firstLine="424" w:firstLineChars="202"/>
        <w:jc w:val="both"/>
        <w:rPr>
          <w:rFonts w:hAnsi="宋体"/>
          <w:color w:val="auto"/>
          <w:sz w:val="21"/>
          <w:szCs w:val="21"/>
          <w:highlight w:val="none"/>
        </w:rPr>
      </w:pPr>
      <w:r>
        <w:rPr>
          <w:rFonts w:hAnsi="宋体"/>
          <w:color w:val="auto"/>
          <w:sz w:val="21"/>
          <w:szCs w:val="21"/>
          <w:highlight w:val="none"/>
        </w:rPr>
        <w:t>电    话：</w:t>
      </w:r>
      <w:r>
        <w:rPr>
          <w:rFonts w:hint="eastAsia" w:hAnsi="宋体"/>
          <w:color w:val="auto"/>
          <w:sz w:val="21"/>
          <w:szCs w:val="21"/>
          <w:highlight w:val="none"/>
        </w:rPr>
        <w:t>0769-28681293</w:t>
      </w:r>
    </w:p>
    <w:p>
      <w:pPr>
        <w:spacing w:line="360" w:lineRule="auto"/>
        <w:ind w:firstLine="422" w:firstLineChars="200"/>
        <w:jc w:val="right"/>
        <w:rPr>
          <w:b/>
          <w:color w:val="auto"/>
          <w:sz w:val="21"/>
          <w:szCs w:val="21"/>
          <w:highlight w:val="none"/>
        </w:rPr>
      </w:pPr>
      <w:r>
        <w:rPr>
          <w:rFonts w:hint="eastAsia"/>
          <w:b/>
          <w:color w:val="auto"/>
          <w:sz w:val="21"/>
          <w:szCs w:val="21"/>
          <w:highlight w:val="none"/>
        </w:rPr>
        <w:t xml:space="preserve">                                         广东泰通伟业工程咨询有限公司</w:t>
      </w:r>
    </w:p>
    <w:p>
      <w:pPr>
        <w:spacing w:line="360" w:lineRule="auto"/>
        <w:ind w:right="-34" w:firstLine="426" w:firstLineChars="202"/>
        <w:jc w:val="right"/>
        <w:rPr>
          <w:rFonts w:hAnsi="宋体"/>
          <w:color w:val="auto"/>
          <w:sz w:val="21"/>
          <w:szCs w:val="21"/>
          <w:highlight w:val="none"/>
        </w:rPr>
      </w:pPr>
      <w:r>
        <w:rPr>
          <w:rFonts w:hint="eastAsia" w:hAnsi="宋体"/>
          <w:b/>
          <w:color w:val="auto"/>
          <w:sz w:val="21"/>
          <w:szCs w:val="21"/>
          <w:highlight w:val="none"/>
        </w:rPr>
        <w:t>二〇二〇年</w:t>
      </w:r>
      <w:r>
        <w:rPr>
          <w:rFonts w:hint="eastAsia" w:hAnsi="宋体"/>
          <w:b/>
          <w:color w:val="auto"/>
          <w:sz w:val="21"/>
          <w:szCs w:val="21"/>
          <w:highlight w:val="none"/>
          <w:lang w:eastAsia="zh-CN"/>
        </w:rPr>
        <w:t>六</w:t>
      </w:r>
      <w:r>
        <w:rPr>
          <w:rFonts w:hint="eastAsia" w:hAnsi="宋体"/>
          <w:b/>
          <w:bCs/>
          <w:color w:val="auto"/>
          <w:sz w:val="21"/>
          <w:szCs w:val="21"/>
          <w:highlight w:val="none"/>
        </w:rPr>
        <w:t>月</w:t>
      </w:r>
    </w:p>
    <w:p>
      <w:pPr>
        <w:pStyle w:val="3"/>
        <w:keepNext/>
        <w:keepLines/>
        <w:pageBreakBefore/>
        <w:numPr>
          <w:ilvl w:val="0"/>
          <w:numId w:val="10"/>
        </w:numPr>
        <w:tabs>
          <w:tab w:val="left" w:pos="1080"/>
        </w:tabs>
        <w:spacing w:line="360" w:lineRule="auto"/>
        <w:ind w:left="1262" w:hanging="1262" w:hangingChars="449"/>
        <w:jc w:val="center"/>
        <w:rPr>
          <w:rFonts w:hAnsi="宋体"/>
          <w:b/>
          <w:bCs/>
          <w:color w:val="auto"/>
          <w:kern w:val="44"/>
          <w:sz w:val="28"/>
          <w:szCs w:val="28"/>
          <w:highlight w:val="none"/>
          <w:lang w:val="zh-CN"/>
        </w:rPr>
      </w:pPr>
      <w:bookmarkStart w:id="4" w:name="_Toc16634"/>
      <w:r>
        <w:rPr>
          <w:rFonts w:hint="eastAsia" w:hAnsi="宋体"/>
          <w:b/>
          <w:bCs/>
          <w:color w:val="auto"/>
          <w:kern w:val="44"/>
          <w:sz w:val="28"/>
          <w:szCs w:val="28"/>
          <w:highlight w:val="none"/>
          <w:lang w:val="zh-CN"/>
        </w:rPr>
        <w:t>供应商须知</w:t>
      </w:r>
      <w:bookmarkEnd w:id="3"/>
      <w:bookmarkEnd w:id="4"/>
    </w:p>
    <w:p>
      <w:pPr>
        <w:pStyle w:val="4"/>
        <w:adjustRightInd/>
        <w:spacing w:line="360" w:lineRule="auto"/>
        <w:ind w:firstLine="562" w:firstLineChars="200"/>
        <w:jc w:val="center"/>
        <w:rPr>
          <w:color w:val="auto"/>
          <w:sz w:val="28"/>
          <w:szCs w:val="28"/>
          <w:highlight w:val="none"/>
        </w:rPr>
      </w:pPr>
      <w:bookmarkStart w:id="5" w:name="_Toc6882675"/>
      <w:bookmarkStart w:id="6" w:name="_Toc507407359"/>
      <w:bookmarkStart w:id="7" w:name="_Toc466786434"/>
      <w:bookmarkStart w:id="8" w:name="_Toc6968687"/>
      <w:bookmarkStart w:id="9" w:name="_Toc7897861"/>
      <w:bookmarkStart w:id="10" w:name="_Toc12804"/>
      <w:bookmarkStart w:id="11" w:name="_Toc102277756"/>
      <w:r>
        <w:rPr>
          <w:rFonts w:hint="eastAsia"/>
          <w:color w:val="auto"/>
          <w:sz w:val="28"/>
          <w:szCs w:val="28"/>
          <w:highlight w:val="none"/>
        </w:rPr>
        <w:t>一、说  明</w:t>
      </w:r>
      <w:bookmarkEnd w:id="5"/>
      <w:bookmarkEnd w:id="6"/>
      <w:bookmarkEnd w:id="7"/>
      <w:bookmarkEnd w:id="8"/>
      <w:bookmarkEnd w:id="9"/>
      <w:bookmarkEnd w:id="10"/>
      <w:bookmarkEnd w:id="11"/>
    </w:p>
    <w:p>
      <w:pPr>
        <w:pStyle w:val="5"/>
        <w:adjustRightInd/>
        <w:spacing w:line="360" w:lineRule="auto"/>
        <w:ind w:firstLine="420" w:firstLineChars="200"/>
        <w:rPr>
          <w:rFonts w:hAnsi="宋体"/>
          <w:color w:val="auto"/>
          <w:sz w:val="21"/>
          <w:szCs w:val="21"/>
          <w:highlight w:val="none"/>
        </w:rPr>
      </w:pPr>
      <w:bookmarkStart w:id="12" w:name="_Toc3730"/>
      <w:bookmarkStart w:id="13" w:name="_Toc24987"/>
      <w:bookmarkStart w:id="14" w:name="_Toc7897862"/>
      <w:bookmarkStart w:id="15" w:name="_Toc475249114"/>
      <w:r>
        <w:rPr>
          <w:rFonts w:hint="eastAsia" w:hAnsi="宋体"/>
          <w:color w:val="auto"/>
          <w:sz w:val="21"/>
          <w:szCs w:val="21"/>
          <w:highlight w:val="none"/>
        </w:rPr>
        <w:t>1.适用范围</w:t>
      </w:r>
      <w:bookmarkEnd w:id="12"/>
      <w:bookmarkEnd w:id="13"/>
      <w:bookmarkEnd w:id="14"/>
      <w:bookmarkEnd w:id="15"/>
    </w:p>
    <w:p>
      <w:pPr>
        <w:spacing w:line="360" w:lineRule="auto"/>
        <w:ind w:firstLine="420" w:firstLineChars="200"/>
        <w:textAlignment w:val="baseline"/>
        <w:rPr>
          <w:rFonts w:hAnsi="宋体"/>
          <w:color w:val="auto"/>
          <w:sz w:val="21"/>
          <w:szCs w:val="21"/>
          <w:highlight w:val="none"/>
        </w:rPr>
      </w:pPr>
      <w:r>
        <w:rPr>
          <w:rFonts w:hint="eastAsia" w:hAnsi="宋体"/>
          <w:color w:val="auto"/>
          <w:sz w:val="21"/>
          <w:szCs w:val="21"/>
          <w:highlight w:val="none"/>
        </w:rPr>
        <w:t>1.1本磋商文件仅适用于本次采购邀请中所叙述的项目。</w:t>
      </w:r>
    </w:p>
    <w:p>
      <w:pPr>
        <w:spacing w:line="360" w:lineRule="auto"/>
        <w:ind w:firstLine="420" w:firstLineChars="200"/>
        <w:textAlignment w:val="baseline"/>
        <w:rPr>
          <w:rFonts w:hAnsi="宋体"/>
          <w:color w:val="auto"/>
          <w:sz w:val="21"/>
          <w:szCs w:val="21"/>
          <w:highlight w:val="none"/>
        </w:rPr>
      </w:pPr>
      <w:r>
        <w:rPr>
          <w:rFonts w:hint="eastAsia" w:hAnsi="宋体"/>
          <w:color w:val="auto"/>
          <w:sz w:val="21"/>
          <w:szCs w:val="21"/>
          <w:highlight w:val="none"/>
        </w:rPr>
        <w:t>1.2本磋商文件的解释权在采购代理机构。</w:t>
      </w:r>
    </w:p>
    <w:p>
      <w:pPr>
        <w:pStyle w:val="5"/>
        <w:adjustRightInd/>
        <w:spacing w:line="360" w:lineRule="auto"/>
        <w:ind w:firstLine="420" w:firstLineChars="200"/>
        <w:rPr>
          <w:rFonts w:hAnsi="宋体"/>
          <w:color w:val="auto"/>
          <w:sz w:val="21"/>
          <w:szCs w:val="21"/>
          <w:highlight w:val="none"/>
        </w:rPr>
      </w:pPr>
      <w:bookmarkStart w:id="16" w:name="_Toc475249115"/>
      <w:bookmarkStart w:id="17" w:name="_Toc598"/>
      <w:bookmarkStart w:id="18" w:name="_Toc9738"/>
      <w:bookmarkStart w:id="19" w:name="_Toc7897863"/>
      <w:r>
        <w:rPr>
          <w:rFonts w:hint="eastAsia" w:hAnsi="宋体"/>
          <w:color w:val="auto"/>
          <w:sz w:val="21"/>
          <w:szCs w:val="21"/>
          <w:highlight w:val="none"/>
        </w:rPr>
        <w:t>2.定义</w:t>
      </w:r>
      <w:bookmarkEnd w:id="16"/>
      <w:bookmarkEnd w:id="17"/>
      <w:bookmarkEnd w:id="18"/>
      <w:bookmarkEnd w:id="19"/>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2.1“采购人”是指东莞市东实旗云投资有限公司。</w:t>
      </w:r>
    </w:p>
    <w:p>
      <w:pPr>
        <w:spacing w:line="360" w:lineRule="auto"/>
        <w:ind w:firstLine="420" w:firstLineChars="200"/>
        <w:rPr>
          <w:rFonts w:hAnsi="宋体"/>
          <w:b/>
          <w:color w:val="auto"/>
          <w:sz w:val="21"/>
          <w:szCs w:val="21"/>
          <w:highlight w:val="none"/>
        </w:rPr>
      </w:pPr>
      <w:r>
        <w:rPr>
          <w:rFonts w:hint="eastAsia" w:hAnsi="宋体"/>
          <w:color w:val="auto"/>
          <w:sz w:val="21"/>
          <w:szCs w:val="21"/>
          <w:highlight w:val="none"/>
        </w:rPr>
        <w:t>2.2“采购代理机构”是指广东泰通伟业工程咨询有限公司。</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2.3“供应商”指向采购代理机构提交响应文件的法人。</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2.4 货物：卖方按磋商文件规定向买方提供的货物。</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2.5 服务：磋商文件规定卖方必须承担的咨询、技术协助、培训及其它相关义务。</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2.6 语言：采购文件的语言为简体中文。</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2.7 日期：指公历日。</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2.8 时间：指北京时间。</w:t>
      </w:r>
    </w:p>
    <w:p>
      <w:pPr>
        <w:pStyle w:val="5"/>
        <w:adjustRightInd/>
        <w:spacing w:line="360" w:lineRule="auto"/>
        <w:ind w:firstLine="420" w:firstLineChars="200"/>
        <w:rPr>
          <w:rFonts w:hAnsi="宋体"/>
          <w:color w:val="auto"/>
          <w:sz w:val="21"/>
          <w:szCs w:val="21"/>
          <w:highlight w:val="none"/>
        </w:rPr>
      </w:pPr>
      <w:bookmarkStart w:id="20" w:name="_Toc367"/>
      <w:bookmarkStart w:id="21" w:name="_Toc110953831"/>
      <w:bookmarkStart w:id="22" w:name="_Toc7897864"/>
      <w:bookmarkStart w:id="23" w:name="_Toc24709"/>
      <w:bookmarkStart w:id="24" w:name="_Toc6882676"/>
      <w:bookmarkStart w:id="25" w:name="_Toc507407360"/>
      <w:bookmarkStart w:id="26" w:name="_Toc466786435"/>
      <w:bookmarkStart w:id="27" w:name="_Toc102277757"/>
      <w:bookmarkStart w:id="28" w:name="_Toc6968688"/>
      <w:r>
        <w:rPr>
          <w:rFonts w:hint="eastAsia" w:hAnsi="宋体"/>
          <w:color w:val="auto"/>
          <w:sz w:val="21"/>
          <w:szCs w:val="21"/>
          <w:highlight w:val="none"/>
        </w:rPr>
        <w:t>3.适用法律</w:t>
      </w:r>
      <w:bookmarkEnd w:id="20"/>
      <w:bookmarkEnd w:id="21"/>
      <w:bookmarkEnd w:id="22"/>
      <w:bookmarkEnd w:id="23"/>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采购人、供应商和采购代理机构均应当参照东莞市东实旗云投资有限公司相关招标采购规定执行。</w:t>
      </w:r>
    </w:p>
    <w:p>
      <w:pPr>
        <w:pStyle w:val="5"/>
        <w:adjustRightInd/>
        <w:spacing w:line="360" w:lineRule="auto"/>
        <w:ind w:firstLine="420" w:firstLineChars="200"/>
        <w:rPr>
          <w:rFonts w:hAnsi="宋体"/>
          <w:color w:val="auto"/>
          <w:sz w:val="21"/>
          <w:szCs w:val="21"/>
          <w:highlight w:val="none"/>
          <w:lang w:val="zh-CN"/>
        </w:rPr>
      </w:pPr>
      <w:bookmarkStart w:id="29" w:name="_Toc20707"/>
      <w:bookmarkStart w:id="30" w:name="_Toc10397"/>
      <w:bookmarkStart w:id="31" w:name="_Toc110953833"/>
      <w:bookmarkStart w:id="32" w:name="_Toc7897866"/>
      <w:r>
        <w:rPr>
          <w:rFonts w:hint="eastAsia" w:hAnsi="宋体"/>
          <w:color w:val="auto"/>
          <w:sz w:val="21"/>
          <w:szCs w:val="21"/>
          <w:highlight w:val="none"/>
          <w:lang w:val="zh-CN"/>
        </w:rPr>
        <w:t>4</w:t>
      </w:r>
      <w:r>
        <w:rPr>
          <w:rFonts w:hint="eastAsia" w:hAnsi="宋体"/>
          <w:color w:val="auto"/>
          <w:sz w:val="21"/>
          <w:szCs w:val="21"/>
          <w:highlight w:val="none"/>
        </w:rPr>
        <w:t>.</w:t>
      </w:r>
      <w:r>
        <w:rPr>
          <w:rFonts w:hint="eastAsia" w:hAnsi="宋体"/>
          <w:color w:val="auto"/>
          <w:sz w:val="21"/>
          <w:szCs w:val="21"/>
          <w:highlight w:val="none"/>
          <w:lang w:val="zh-CN"/>
        </w:rPr>
        <w:t>本项目不接受联合体磋商。</w:t>
      </w:r>
      <w:bookmarkEnd w:id="29"/>
    </w:p>
    <w:p>
      <w:pPr>
        <w:pStyle w:val="5"/>
        <w:adjustRightInd/>
        <w:spacing w:line="360" w:lineRule="auto"/>
        <w:ind w:firstLine="420" w:firstLineChars="200"/>
        <w:rPr>
          <w:rFonts w:hAnsi="宋体"/>
          <w:bCs/>
          <w:color w:val="auto"/>
          <w:sz w:val="21"/>
          <w:szCs w:val="21"/>
          <w:highlight w:val="none"/>
        </w:rPr>
      </w:pPr>
      <w:bookmarkStart w:id="33" w:name="_Toc10368"/>
      <w:r>
        <w:rPr>
          <w:rFonts w:hint="eastAsia" w:hAnsi="宋体"/>
          <w:color w:val="auto"/>
          <w:sz w:val="21"/>
          <w:szCs w:val="21"/>
          <w:highlight w:val="none"/>
        </w:rPr>
        <w:t>5.禁止事项</w:t>
      </w:r>
      <w:bookmarkEnd w:id="30"/>
      <w:bookmarkEnd w:id="31"/>
      <w:bookmarkEnd w:id="32"/>
      <w:bookmarkEnd w:id="33"/>
    </w:p>
    <w:p>
      <w:pPr>
        <w:spacing w:line="360" w:lineRule="auto"/>
        <w:ind w:firstLine="420" w:firstLineChars="200"/>
        <w:rPr>
          <w:rFonts w:hAnsi="宋体"/>
          <w:color w:val="auto"/>
          <w:sz w:val="21"/>
          <w:szCs w:val="21"/>
          <w:highlight w:val="none"/>
        </w:rPr>
      </w:pPr>
      <w:bookmarkStart w:id="34" w:name="_Toc98126293"/>
      <w:bookmarkStart w:id="35" w:name="_Toc98126218"/>
      <w:r>
        <w:rPr>
          <w:rFonts w:hint="eastAsia" w:hAnsi="宋体"/>
          <w:color w:val="auto"/>
          <w:sz w:val="21"/>
          <w:szCs w:val="21"/>
          <w:highlight w:val="none"/>
        </w:rPr>
        <w:t>5.1采购人、供应商和采购代理机构不得相互串通损害国家利益、社会公共利益和其他当事人的合法权益。</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5.2供应商不得向采购人、采购代理机构、磋商小组的组成人员行贿或者采取其他不正当手段谋取成交。</w:t>
      </w:r>
      <w:bookmarkEnd w:id="34"/>
      <w:bookmarkEnd w:id="35"/>
    </w:p>
    <w:p>
      <w:pPr>
        <w:spacing w:line="360" w:lineRule="auto"/>
        <w:ind w:firstLine="420" w:firstLineChars="200"/>
        <w:rPr>
          <w:rFonts w:hAnsi="宋体"/>
          <w:color w:val="auto"/>
          <w:sz w:val="21"/>
          <w:szCs w:val="21"/>
          <w:highlight w:val="none"/>
        </w:rPr>
      </w:pPr>
      <w:bookmarkStart w:id="36" w:name="_Toc98126294"/>
      <w:bookmarkStart w:id="37" w:name="_Toc98126219"/>
      <w:r>
        <w:rPr>
          <w:rFonts w:hint="eastAsia" w:hAnsi="宋体"/>
          <w:color w:val="auto"/>
          <w:sz w:val="21"/>
          <w:szCs w:val="21"/>
          <w:highlight w:val="none"/>
        </w:rPr>
        <w:t>5.3采购代理机构不得向采购人行贿或者采取其他不正当手段谋取非法利益。</w:t>
      </w:r>
      <w:bookmarkEnd w:id="36"/>
      <w:bookmarkEnd w:id="37"/>
    </w:p>
    <w:p>
      <w:pPr>
        <w:spacing w:line="360" w:lineRule="auto"/>
        <w:ind w:firstLine="420" w:firstLineChars="200"/>
        <w:rPr>
          <w:rFonts w:hAnsi="宋体"/>
          <w:color w:val="auto"/>
          <w:sz w:val="21"/>
          <w:szCs w:val="21"/>
          <w:highlight w:val="none"/>
        </w:rPr>
      </w:pPr>
      <w:bookmarkStart w:id="38" w:name="_Toc98126220"/>
      <w:bookmarkStart w:id="39" w:name="_Toc98126295"/>
      <w:r>
        <w:rPr>
          <w:rFonts w:hint="eastAsia" w:hAnsi="宋体"/>
          <w:color w:val="auto"/>
          <w:sz w:val="21"/>
          <w:szCs w:val="21"/>
          <w:highlight w:val="none"/>
        </w:rPr>
        <w:t>5.4除供应商被要求对响应文件进行质疑澄清外，从开启响应文件之时起至授予合同止，供应商不得就与其响应文件有关的事项主动与磋商小组、采购人以及采购代理机构接触。</w:t>
      </w:r>
      <w:bookmarkEnd w:id="38"/>
      <w:bookmarkEnd w:id="39"/>
    </w:p>
    <w:p>
      <w:pPr>
        <w:pStyle w:val="5"/>
        <w:adjustRightInd/>
        <w:spacing w:line="360" w:lineRule="auto"/>
        <w:ind w:firstLine="420" w:firstLineChars="200"/>
        <w:rPr>
          <w:rFonts w:hAnsi="宋体"/>
          <w:bCs/>
          <w:color w:val="auto"/>
          <w:sz w:val="21"/>
          <w:szCs w:val="21"/>
          <w:highlight w:val="none"/>
        </w:rPr>
      </w:pPr>
      <w:bookmarkStart w:id="40" w:name="_Toc110953834"/>
      <w:bookmarkStart w:id="41" w:name="_Toc25870"/>
      <w:bookmarkStart w:id="42" w:name="_Toc2863"/>
      <w:bookmarkStart w:id="43" w:name="_Toc7897867"/>
      <w:r>
        <w:rPr>
          <w:rFonts w:hint="eastAsia" w:hAnsi="宋体"/>
          <w:color w:val="auto"/>
          <w:sz w:val="21"/>
          <w:szCs w:val="21"/>
          <w:highlight w:val="none"/>
        </w:rPr>
        <w:t>6.保密及其它注意事项</w:t>
      </w:r>
      <w:bookmarkEnd w:id="40"/>
      <w:bookmarkEnd w:id="41"/>
      <w:bookmarkEnd w:id="42"/>
      <w:bookmarkEnd w:id="43"/>
    </w:p>
    <w:p>
      <w:pPr>
        <w:spacing w:line="360" w:lineRule="auto"/>
        <w:ind w:firstLine="420" w:firstLineChars="200"/>
        <w:rPr>
          <w:rFonts w:hAnsi="宋体"/>
          <w:color w:val="auto"/>
          <w:sz w:val="21"/>
          <w:szCs w:val="21"/>
          <w:highlight w:val="none"/>
        </w:rPr>
      </w:pPr>
      <w:bookmarkStart w:id="44" w:name="_Toc98126297"/>
      <w:bookmarkStart w:id="45" w:name="_Toc98126222"/>
      <w:r>
        <w:rPr>
          <w:rFonts w:hint="eastAsia" w:hAnsi="宋体"/>
          <w:color w:val="auto"/>
          <w:sz w:val="21"/>
          <w:szCs w:val="21"/>
          <w:highlight w:val="none"/>
        </w:rPr>
        <w:t>6.1凡参与采购工作的有关人员均应自觉接受有关主管部门的监督，不得向他人透露可能影响公平竞争的有关情况。</w:t>
      </w:r>
      <w:bookmarkEnd w:id="44"/>
      <w:bookmarkEnd w:id="45"/>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磋商小组人员之外。</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6.3在评审期间，供应商不得向磋商小组成员询问评审情况，不得进行旨在影响评审结果的活动。</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6.4磋商小组不向未成交供应商解释落选原因，不退还响应文件。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6.5所有供应商自行承担与响应有关的全部费用。采购人和采购代理机构在任何情况下均不承担该费用。</w:t>
      </w:r>
    </w:p>
    <w:p>
      <w:pPr>
        <w:pStyle w:val="5"/>
        <w:adjustRightInd/>
        <w:spacing w:line="360" w:lineRule="auto"/>
        <w:ind w:firstLine="420" w:firstLineChars="200"/>
        <w:rPr>
          <w:rFonts w:hAnsi="宋体"/>
          <w:color w:val="auto"/>
          <w:sz w:val="21"/>
          <w:szCs w:val="21"/>
          <w:highlight w:val="none"/>
        </w:rPr>
      </w:pPr>
      <w:bookmarkStart w:id="46" w:name="_Toc7897868"/>
      <w:bookmarkStart w:id="47" w:name="_Toc497016085"/>
      <w:bookmarkStart w:id="48" w:name="_Toc27298"/>
      <w:bookmarkStart w:id="49" w:name="_Toc13371"/>
      <w:r>
        <w:rPr>
          <w:rFonts w:hint="eastAsia" w:hAnsi="宋体"/>
          <w:color w:val="auto"/>
          <w:sz w:val="21"/>
          <w:szCs w:val="21"/>
          <w:highlight w:val="none"/>
        </w:rPr>
        <w:t>7.供应商诚信管理</w:t>
      </w:r>
      <w:bookmarkEnd w:id="46"/>
      <w:bookmarkEnd w:id="47"/>
      <w:bookmarkEnd w:id="48"/>
      <w:bookmarkEnd w:id="49"/>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7.1供应商在本磋商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7.2如果采购人或采购代理机构有证据表明供应商在本磋商项目的竞争中存在腐败、欺诈或其他严重违背诚信原则的行为，则将拒绝其响应。</w:t>
      </w:r>
    </w:p>
    <w:p>
      <w:pPr>
        <w:spacing w:line="360" w:lineRule="auto"/>
        <w:rPr>
          <w:rFonts w:hAnsi="宋体"/>
          <w:color w:val="auto"/>
          <w:sz w:val="21"/>
          <w:szCs w:val="21"/>
          <w:highlight w:val="none"/>
        </w:rPr>
      </w:pPr>
    </w:p>
    <w:p>
      <w:pPr>
        <w:pStyle w:val="4"/>
        <w:adjustRightInd/>
        <w:spacing w:line="360" w:lineRule="auto"/>
        <w:ind w:firstLine="562" w:firstLineChars="200"/>
        <w:jc w:val="center"/>
        <w:rPr>
          <w:color w:val="auto"/>
          <w:sz w:val="28"/>
          <w:szCs w:val="28"/>
          <w:highlight w:val="none"/>
        </w:rPr>
      </w:pPr>
      <w:bookmarkStart w:id="50" w:name="_Toc7897869"/>
      <w:bookmarkStart w:id="51" w:name="_Toc23741"/>
      <w:r>
        <w:rPr>
          <w:rFonts w:hint="eastAsia"/>
          <w:color w:val="auto"/>
          <w:sz w:val="28"/>
          <w:szCs w:val="28"/>
          <w:highlight w:val="none"/>
        </w:rPr>
        <w:t>二、磋商文件说明</w:t>
      </w:r>
      <w:bookmarkEnd w:id="24"/>
      <w:bookmarkEnd w:id="25"/>
      <w:bookmarkEnd w:id="26"/>
      <w:bookmarkEnd w:id="27"/>
      <w:bookmarkEnd w:id="28"/>
      <w:bookmarkEnd w:id="50"/>
      <w:bookmarkEnd w:id="51"/>
    </w:p>
    <w:p>
      <w:pPr>
        <w:pStyle w:val="5"/>
        <w:adjustRightInd/>
        <w:spacing w:line="360" w:lineRule="auto"/>
        <w:ind w:firstLine="420" w:firstLineChars="200"/>
        <w:rPr>
          <w:rFonts w:hAnsi="宋体"/>
          <w:color w:val="auto"/>
          <w:sz w:val="21"/>
          <w:szCs w:val="21"/>
          <w:highlight w:val="none"/>
        </w:rPr>
      </w:pPr>
      <w:bookmarkStart w:id="52" w:name="_Toc7897870"/>
      <w:bookmarkStart w:id="53" w:name="_Toc110953836"/>
      <w:bookmarkStart w:id="54" w:name="_Toc29560"/>
      <w:bookmarkStart w:id="55" w:name="_Toc23606"/>
      <w:bookmarkStart w:id="56" w:name="_Toc6968689"/>
      <w:bookmarkStart w:id="57" w:name="_Toc6882677"/>
      <w:bookmarkStart w:id="58" w:name="_Toc507407361"/>
      <w:bookmarkStart w:id="59" w:name="_Toc102277758"/>
      <w:bookmarkStart w:id="60" w:name="_Toc466786436"/>
      <w:r>
        <w:rPr>
          <w:rFonts w:hint="eastAsia" w:hAnsi="宋体"/>
          <w:color w:val="auto"/>
          <w:sz w:val="21"/>
          <w:szCs w:val="21"/>
          <w:highlight w:val="none"/>
        </w:rPr>
        <w:t>8.磋商文件构成</w:t>
      </w:r>
      <w:bookmarkEnd w:id="52"/>
      <w:bookmarkEnd w:id="53"/>
      <w:bookmarkEnd w:id="54"/>
      <w:bookmarkEnd w:id="55"/>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8.1磋商文件用以阐明项目情况、评审程序、评审办法、定标标准和合同条款参考范本和响应文件的制作等，由采购邀请函、采购需求、供应商须知、响应文件格式和合同范本构成。</w:t>
      </w:r>
    </w:p>
    <w:p>
      <w:pPr>
        <w:pStyle w:val="5"/>
        <w:adjustRightInd/>
        <w:spacing w:line="360" w:lineRule="auto"/>
        <w:ind w:firstLine="420" w:firstLineChars="200"/>
        <w:rPr>
          <w:rFonts w:hAnsi="宋体"/>
          <w:color w:val="auto"/>
          <w:sz w:val="21"/>
          <w:szCs w:val="21"/>
          <w:highlight w:val="none"/>
        </w:rPr>
      </w:pPr>
      <w:bookmarkStart w:id="61" w:name="_Toc19701"/>
      <w:bookmarkStart w:id="62" w:name="_Toc110953837"/>
      <w:bookmarkStart w:id="63" w:name="_Toc16827"/>
      <w:bookmarkStart w:id="64" w:name="_Toc7897871"/>
      <w:r>
        <w:rPr>
          <w:rFonts w:hint="eastAsia" w:hAnsi="宋体"/>
          <w:color w:val="auto"/>
          <w:sz w:val="21"/>
          <w:szCs w:val="21"/>
          <w:highlight w:val="none"/>
        </w:rPr>
        <w:t>9.磋商文件的修改</w:t>
      </w:r>
      <w:bookmarkEnd w:id="61"/>
      <w:bookmarkEnd w:id="62"/>
      <w:bookmarkEnd w:id="63"/>
      <w:bookmarkEnd w:id="64"/>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将在提交首次响应文件截止时间5日前以书面形式通知所有获取磋商文件的供应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9.2如果修改的时间距响应文件递交截止时间不足5日的，将相应顺延递交首次响应文件截止时间。</w:t>
      </w:r>
    </w:p>
    <w:p>
      <w:pPr>
        <w:pStyle w:val="13"/>
        <w:ind w:firstLine="400"/>
        <w:rPr>
          <w:color w:val="auto"/>
          <w:highlight w:val="none"/>
        </w:rPr>
      </w:pPr>
    </w:p>
    <w:bookmarkEnd w:id="56"/>
    <w:bookmarkEnd w:id="57"/>
    <w:bookmarkEnd w:id="58"/>
    <w:bookmarkEnd w:id="59"/>
    <w:bookmarkEnd w:id="60"/>
    <w:p>
      <w:pPr>
        <w:pStyle w:val="4"/>
        <w:adjustRightInd/>
        <w:spacing w:line="360" w:lineRule="auto"/>
        <w:ind w:firstLine="562" w:firstLineChars="200"/>
        <w:jc w:val="center"/>
        <w:rPr>
          <w:color w:val="auto"/>
          <w:sz w:val="28"/>
          <w:szCs w:val="28"/>
          <w:highlight w:val="none"/>
        </w:rPr>
      </w:pPr>
      <w:bookmarkStart w:id="65" w:name="_Toc7897872"/>
      <w:bookmarkStart w:id="66" w:name="_Toc15398"/>
      <w:bookmarkStart w:id="67" w:name="_Toc110953838"/>
      <w:bookmarkStart w:id="68" w:name="_Toc102277759"/>
      <w:bookmarkStart w:id="69" w:name="_Toc507407362"/>
      <w:bookmarkStart w:id="70" w:name="_Toc466786437"/>
      <w:bookmarkStart w:id="71" w:name="_Toc6882678"/>
      <w:bookmarkStart w:id="72" w:name="_Toc6968690"/>
      <w:r>
        <w:rPr>
          <w:rFonts w:hint="eastAsia"/>
          <w:color w:val="auto"/>
          <w:sz w:val="28"/>
          <w:szCs w:val="28"/>
          <w:highlight w:val="none"/>
        </w:rPr>
        <w:t>三、响应文件的制作</w:t>
      </w:r>
      <w:bookmarkEnd w:id="65"/>
      <w:bookmarkEnd w:id="66"/>
      <w:bookmarkEnd w:id="67"/>
    </w:p>
    <w:p>
      <w:pPr>
        <w:pStyle w:val="5"/>
        <w:adjustRightInd/>
        <w:spacing w:line="360" w:lineRule="auto"/>
        <w:ind w:firstLine="420" w:firstLineChars="200"/>
        <w:rPr>
          <w:rFonts w:hAnsi="宋体"/>
          <w:color w:val="auto"/>
          <w:sz w:val="21"/>
          <w:szCs w:val="21"/>
          <w:highlight w:val="none"/>
        </w:rPr>
      </w:pPr>
      <w:bookmarkStart w:id="73" w:name="_Toc23789"/>
      <w:bookmarkStart w:id="74" w:name="_Toc110953839"/>
      <w:bookmarkStart w:id="75" w:name="_Toc7897873"/>
      <w:bookmarkStart w:id="76" w:name="_Toc15756"/>
      <w:r>
        <w:rPr>
          <w:rFonts w:hint="eastAsia" w:hAnsi="宋体"/>
          <w:color w:val="auto"/>
          <w:sz w:val="21"/>
          <w:szCs w:val="21"/>
          <w:highlight w:val="none"/>
        </w:rPr>
        <w:t>10.制作要求</w:t>
      </w:r>
      <w:bookmarkEnd w:id="73"/>
      <w:bookmarkEnd w:id="74"/>
      <w:bookmarkEnd w:id="75"/>
      <w:bookmarkEnd w:id="76"/>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10.1供应商应当仔细阅读磋商文件的所有内容，按磋商文件的要求提供响应文件，并保证所提供的全部资料的真实性及对磋商文件作出实质性响应。</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10.2供应商应按磋商文件中提供的响应文件格式制作响应文件。如有关表格不能满足填报需要，可以对表格格式作出相应调整，但不得更改表格的实质性内容。</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w:t>
      </w:r>
      <w:r>
        <w:rPr>
          <w:rFonts w:hint="eastAsia" w:hAnsi="宋体"/>
          <w:b/>
          <w:color w:val="auto"/>
          <w:sz w:val="21"/>
          <w:szCs w:val="21"/>
          <w:highlight w:val="none"/>
        </w:rPr>
        <w:t>3供应商应提供正本一份、副本三份、唱标信封一份。</w:t>
      </w:r>
      <w:r>
        <w:rPr>
          <w:rFonts w:hint="eastAsia" w:hAnsi="宋体"/>
          <w:color w:val="auto"/>
          <w:sz w:val="21"/>
          <w:szCs w:val="21"/>
          <w:highlight w:val="none"/>
        </w:rPr>
        <w:t>在每一份响应文件上要明确注明“正本”、“副本”或“唱标信封”字样，一旦正本和副本有差异，以正本为准。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10.4响应文件的正本必须打印，并由供应商的法定代表人或经正式授权对供应商有约束力的委托代理人在响应文件上签字并加盖公章。委托代理人必须出具书面形式的《授权委托书》并附在响应文件中。响应文件的副本可采用正本的复印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10.5除供应商对错处作必要修改外，响应文件中不许有加行、涂改或改写。任何行间插字、涂改和增删，必须由供应商的法定代表人或委托代理人在修改处签字或加盖公章才有效。</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10.6电报、电话、传真、电子邮件形式的响应概不接受。</w:t>
      </w:r>
    </w:p>
    <w:p>
      <w:pPr>
        <w:pStyle w:val="5"/>
        <w:adjustRightInd/>
        <w:spacing w:line="360" w:lineRule="auto"/>
        <w:ind w:firstLine="420" w:firstLineChars="200"/>
        <w:rPr>
          <w:rFonts w:hAnsi="宋体"/>
          <w:color w:val="auto"/>
          <w:sz w:val="21"/>
          <w:szCs w:val="21"/>
          <w:highlight w:val="none"/>
        </w:rPr>
      </w:pPr>
      <w:bookmarkStart w:id="77" w:name="_Toc20552"/>
      <w:bookmarkStart w:id="78" w:name="_Toc7897874"/>
      <w:bookmarkStart w:id="79" w:name="_Toc18079"/>
      <w:bookmarkStart w:id="80" w:name="_Toc110953840"/>
      <w:r>
        <w:rPr>
          <w:rFonts w:hint="eastAsia" w:hAnsi="宋体"/>
          <w:color w:val="auto"/>
          <w:sz w:val="21"/>
          <w:szCs w:val="21"/>
          <w:highlight w:val="none"/>
        </w:rPr>
        <w:t>11.响应文件的内容</w:t>
      </w:r>
      <w:bookmarkEnd w:id="77"/>
      <w:bookmarkEnd w:id="78"/>
      <w:bookmarkEnd w:id="79"/>
      <w:bookmarkEnd w:id="80"/>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11.1响应文件应包括下列部分：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11.1.1价格文件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11.1.2商务、技术文件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11.1.3唱标信封（须独立密封）</w:t>
      </w:r>
    </w:p>
    <w:p>
      <w:pPr>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供应商应如实详细提供第11.1款所要求的全部资料，价格部分文件必须单独装订成册，商务、技术和其他证明资料等磋商响应文件不能出现磋商价格。</w:t>
      </w:r>
    </w:p>
    <w:p>
      <w:pPr>
        <w:spacing w:line="360" w:lineRule="auto"/>
        <w:rPr>
          <w:rFonts w:hAnsi="宋体"/>
          <w:color w:val="auto"/>
          <w:sz w:val="21"/>
          <w:szCs w:val="21"/>
          <w:highlight w:val="none"/>
        </w:rPr>
      </w:pPr>
      <w:r>
        <w:rPr>
          <w:rFonts w:hint="eastAsia" w:hAnsi="宋体"/>
          <w:color w:val="auto"/>
          <w:sz w:val="21"/>
          <w:szCs w:val="21"/>
          <w:highlight w:val="none"/>
        </w:rPr>
        <w:t>11.2响应（磋商）报价</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（1）响应（磋商）报价应为人民币含税全包价，报价应包含服务及所需的各种税费、售后服务费及合同实施过程中的应预见和不可预见费用等完成合同规定责任和义务、达到合同目的的一切费用。</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（2）磋商报价应包括所有应支付的对专利权和版权、设计或其他知识产权而需要向其他方支付的版税。</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（3）供应商应按响应文件的《报价一览表》格式填写响应内容的单价和总价。</w:t>
      </w:r>
    </w:p>
    <w:p>
      <w:pPr>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（4）</w:t>
      </w:r>
      <w:r>
        <w:rPr>
          <w:rFonts w:hint="eastAsia" w:hAnsi="宋体"/>
          <w:b/>
          <w:bCs/>
          <w:color w:val="auto"/>
          <w:sz w:val="21"/>
          <w:szCs w:val="21"/>
          <w:highlight w:val="none"/>
        </w:rPr>
        <w:t>供应商每次报价超过最高限价视为非实质性响应磋商而予以拒绝。</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（5）经磋商后，供应商所报的最后磋商报价在合同执行过程中是固定不变的，不得以任何理由予以变更。</w:t>
      </w:r>
    </w:p>
    <w:p>
      <w:pPr>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（6）供应商只能就单个项目提供唯一的方案和报价，不接受选择性的方案和报价。</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11.3证明供应商合格和资格的文件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11.4供应商应当提交具备履行合同的证明文件。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11.5证明文件包括：履行合同所必须具备的财务能力证明、技术能力证明，符合磋商文件资格要求的证明等。</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11.6证明服务的合格性和符合磋商文件规定的文件。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11.7供应商应提交其拟供的合同项下的服务的合格性符合磋商文件规定的证明文件，并作为其响应文件的一部分。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11.8服务合格性的证明文件应包括服务来源地的说明，服务与磋商文件的要求相一致的证明文件，其他说明所提供服务已对技术要求做出了实质性响应的文件或说明与技术规格条文的偏差和例外等，形式可以是文字说明、图纸及其他资料。</w:t>
      </w:r>
    </w:p>
    <w:p>
      <w:pPr>
        <w:pStyle w:val="5"/>
        <w:adjustRightInd/>
        <w:spacing w:line="360" w:lineRule="auto"/>
        <w:ind w:firstLine="420" w:firstLineChars="200"/>
        <w:rPr>
          <w:rFonts w:hAnsi="宋体"/>
          <w:color w:val="auto"/>
          <w:sz w:val="21"/>
          <w:szCs w:val="21"/>
          <w:highlight w:val="none"/>
        </w:rPr>
      </w:pPr>
      <w:bookmarkStart w:id="81" w:name="_Toc9150"/>
      <w:bookmarkStart w:id="82" w:name="_Toc7897875"/>
      <w:bookmarkStart w:id="83" w:name="_Toc110953841"/>
      <w:bookmarkStart w:id="84" w:name="_Toc21763"/>
      <w:r>
        <w:rPr>
          <w:rFonts w:hint="eastAsia" w:hAnsi="宋体"/>
          <w:color w:val="auto"/>
          <w:sz w:val="21"/>
          <w:szCs w:val="21"/>
          <w:highlight w:val="none"/>
        </w:rPr>
        <w:t>12.响应文件格式</w:t>
      </w:r>
      <w:bookmarkEnd w:id="81"/>
      <w:bookmarkEnd w:id="82"/>
      <w:bookmarkEnd w:id="83"/>
      <w:bookmarkEnd w:id="84"/>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12.1供应商应将响应文件装订成册，并填写“响应文件目录”。上述文件及表格为供应商必须提交的文件，各供应商可以根据实际情况增加内容，但不得擅自减少有关内容。响应文件的完整性是评审的内容之一。</w:t>
      </w:r>
    </w:p>
    <w:p>
      <w:pPr>
        <w:pStyle w:val="5"/>
        <w:adjustRightInd/>
        <w:spacing w:line="360" w:lineRule="auto"/>
        <w:ind w:firstLine="420" w:firstLineChars="200"/>
        <w:rPr>
          <w:rFonts w:hAnsi="宋体"/>
          <w:color w:val="auto"/>
          <w:sz w:val="21"/>
          <w:szCs w:val="21"/>
          <w:highlight w:val="none"/>
        </w:rPr>
      </w:pPr>
      <w:bookmarkStart w:id="85" w:name="_Toc185150707"/>
      <w:bookmarkStart w:id="86" w:name="_Toc24570"/>
      <w:bookmarkStart w:id="87" w:name="_Toc7897876"/>
      <w:bookmarkStart w:id="88" w:name="_Toc30889"/>
      <w:r>
        <w:rPr>
          <w:rFonts w:hint="eastAsia" w:hAnsi="宋体"/>
          <w:color w:val="auto"/>
          <w:sz w:val="21"/>
          <w:szCs w:val="21"/>
          <w:highlight w:val="none"/>
        </w:rPr>
        <w:t>13.</w:t>
      </w:r>
      <w:bookmarkEnd w:id="85"/>
      <w:r>
        <w:rPr>
          <w:rFonts w:hint="eastAsia" w:hAnsi="宋体"/>
          <w:color w:val="auto"/>
          <w:sz w:val="21"/>
          <w:szCs w:val="21"/>
          <w:highlight w:val="none"/>
        </w:rPr>
        <w:t>磋商保证金</w:t>
      </w:r>
      <w:bookmarkEnd w:id="86"/>
      <w:bookmarkEnd w:id="87"/>
      <w:bookmarkEnd w:id="88"/>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13.1供应商应向采购代理机构提交磋商保证金，并作为其响应文件的一部分。磋商保证金的金额：</w:t>
      </w:r>
    </w:p>
    <w:tbl>
      <w:tblPr>
        <w:tblStyle w:val="53"/>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7"/>
        <w:gridCol w:w="3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5347" w:type="dxa"/>
            <w:shd w:val="clear" w:color="auto" w:fill="E0E0E0"/>
            <w:vAlign w:val="center"/>
          </w:tcPr>
          <w:p>
            <w:pPr>
              <w:snapToGrid w:val="0"/>
              <w:jc w:val="center"/>
              <w:rPr>
                <w:rFonts w:hAnsi="宋体"/>
                <w:b/>
                <w:color w:val="auto"/>
                <w:sz w:val="21"/>
                <w:szCs w:val="21"/>
                <w:highlight w:val="none"/>
              </w:rPr>
            </w:pPr>
            <w:r>
              <w:rPr>
                <w:rFonts w:hint="eastAsia" w:hAnsi="宋体"/>
                <w:b/>
                <w:color w:val="auto"/>
                <w:sz w:val="21"/>
                <w:szCs w:val="21"/>
                <w:highlight w:val="none"/>
              </w:rPr>
              <w:t>内容</w:t>
            </w:r>
          </w:p>
        </w:tc>
        <w:tc>
          <w:tcPr>
            <w:tcW w:w="3461" w:type="dxa"/>
            <w:shd w:val="clear" w:color="auto" w:fill="E0E0E0"/>
            <w:vAlign w:val="center"/>
          </w:tcPr>
          <w:p>
            <w:pPr>
              <w:snapToGrid w:val="0"/>
              <w:jc w:val="center"/>
              <w:rPr>
                <w:rFonts w:hAnsi="宋体"/>
                <w:b/>
                <w:color w:val="auto"/>
                <w:sz w:val="21"/>
                <w:szCs w:val="21"/>
                <w:highlight w:val="none"/>
              </w:rPr>
            </w:pPr>
            <w:r>
              <w:rPr>
                <w:rFonts w:hint="eastAsia" w:hAnsi="宋体"/>
                <w:b/>
                <w:color w:val="auto"/>
                <w:sz w:val="21"/>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7" w:type="dxa"/>
            <w:vAlign w:val="center"/>
          </w:tcPr>
          <w:p>
            <w:pPr>
              <w:widowControl/>
              <w:jc w:val="center"/>
              <w:rPr>
                <w:rFonts w:hAnsi="宋体"/>
                <w:color w:val="auto"/>
                <w:sz w:val="21"/>
                <w:szCs w:val="21"/>
                <w:highlight w:val="none"/>
              </w:rPr>
            </w:pPr>
            <w:r>
              <w:rPr>
                <w:rFonts w:hint="eastAsia" w:hAnsi="宋体"/>
                <w:color w:val="auto"/>
                <w:sz w:val="21"/>
                <w:szCs w:val="21"/>
                <w:highlight w:val="none"/>
              </w:rPr>
              <w:t>旗云花园销售中心案场及展示区物业服务项目</w:t>
            </w:r>
          </w:p>
        </w:tc>
        <w:tc>
          <w:tcPr>
            <w:tcW w:w="3461" w:type="dxa"/>
            <w:vAlign w:val="center"/>
          </w:tcPr>
          <w:p>
            <w:pPr>
              <w:widowControl/>
              <w:jc w:val="center"/>
              <w:rPr>
                <w:rFonts w:hAnsi="宋体"/>
                <w:color w:val="auto"/>
                <w:sz w:val="21"/>
                <w:szCs w:val="21"/>
                <w:highlight w:val="none"/>
              </w:rPr>
            </w:pPr>
            <w:r>
              <w:rPr>
                <w:rFonts w:hint="eastAsia" w:hAnsi="宋体"/>
                <w:color w:val="auto"/>
                <w:sz w:val="21"/>
                <w:szCs w:val="21"/>
                <w:highlight w:val="none"/>
              </w:rPr>
              <w:t>肆万元整（¥40,000.00元）</w:t>
            </w:r>
          </w:p>
        </w:tc>
      </w:tr>
    </w:tbl>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13.2供应商应按要求提交磋商保证金，供应商必须采用银行转账的形式缴交，磋商供应商与交款人名称必须一致，非磋商供应商缴纳的磋商保证金无效。</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13.3磋商保证金以银行划账形式提交，应符合下列规定： </w:t>
      </w:r>
    </w:p>
    <w:p>
      <w:pPr>
        <w:autoSpaceDE/>
        <w:autoSpaceDN/>
        <w:adjustRightInd/>
        <w:spacing w:line="360" w:lineRule="auto"/>
        <w:ind w:firstLine="840" w:firstLineChars="400"/>
        <w:jc w:val="both"/>
        <w:rPr>
          <w:rFonts w:hAnsi="宋体"/>
          <w:bCs/>
          <w:color w:val="auto"/>
          <w:sz w:val="21"/>
          <w:szCs w:val="21"/>
          <w:highlight w:val="none"/>
        </w:rPr>
      </w:pPr>
      <w:r>
        <w:rPr>
          <w:rFonts w:hint="eastAsia" w:hAnsi="宋体"/>
          <w:bCs/>
          <w:color w:val="auto"/>
          <w:sz w:val="21"/>
          <w:szCs w:val="21"/>
          <w:highlight w:val="none"/>
        </w:rPr>
        <w:t>账户名称：广东泰通伟业工程咨询有限公司</w:t>
      </w:r>
    </w:p>
    <w:p>
      <w:pPr>
        <w:autoSpaceDE/>
        <w:autoSpaceDN/>
        <w:adjustRightInd/>
        <w:spacing w:line="360" w:lineRule="auto"/>
        <w:ind w:firstLine="840" w:firstLineChars="400"/>
        <w:jc w:val="both"/>
        <w:rPr>
          <w:rFonts w:hAnsi="宋体"/>
          <w:bCs/>
          <w:color w:val="auto"/>
          <w:sz w:val="21"/>
          <w:szCs w:val="21"/>
          <w:highlight w:val="none"/>
        </w:rPr>
      </w:pPr>
      <w:r>
        <w:rPr>
          <w:rFonts w:hint="eastAsia" w:hAnsi="宋体"/>
          <w:bCs/>
          <w:color w:val="auto"/>
          <w:sz w:val="21"/>
          <w:szCs w:val="21"/>
          <w:highlight w:val="none"/>
        </w:rPr>
        <w:t>账号：44274801040021198</w:t>
      </w:r>
    </w:p>
    <w:p>
      <w:pPr>
        <w:spacing w:line="360" w:lineRule="auto"/>
        <w:ind w:firstLine="840" w:firstLineChars="400"/>
        <w:jc w:val="both"/>
        <w:rPr>
          <w:rFonts w:hAnsi="宋体"/>
          <w:bCs/>
          <w:color w:val="auto"/>
          <w:sz w:val="21"/>
          <w:szCs w:val="21"/>
          <w:highlight w:val="none"/>
        </w:rPr>
      </w:pPr>
      <w:r>
        <w:rPr>
          <w:rFonts w:hint="eastAsia" w:hAnsi="宋体"/>
          <w:bCs/>
          <w:color w:val="auto"/>
          <w:sz w:val="21"/>
          <w:szCs w:val="21"/>
          <w:highlight w:val="none"/>
        </w:rPr>
        <w:t>开户行：中国农业银行股份有限公司东莞东城支行</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供应商必须保证资金以其供应商的名称（以分公司或子公司汇款无效）在本项目磋商响应文件截止前汇入到保证金专用账户（以银行到帐为准），可采用银行转帐方式提交，但不可以采用现金方式（包括以存现方式）提交，未按要求提交磋商保证金的将导致废标。</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13.4供应商应将汇款底单复印件附在《磋商保证金汇入情况说明》中。并将《磋商保证金汇入情况说明》连同开标一览表一起密封在单独的唱标信封内。磋商保证金的汇入单位名称须与磋商供应商名称一致，不接受以分支机构名义或个人账户代替供应商进行汇款。</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13.5凡没有根据规定递交磋商保证金的，应视为非响应性磋商予以拒绝。</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13.6未成交供应商的磋商保证金自成交通知书发出后5个工作日内退还（不计利息）；成交供应商的磋商保证金，将在其签署合同后，采购代理机构在5个工作日内退还（不计利息）。逾期办理的，采购人不承担迟延退款责任。</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13.7下列任何情况发生时，磋商保证金将被没收：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13.7.1供应商在磋商文件中规定的磋商有效期内撤回其磋商；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13.7.2供应商串通磋商或者以其他弄虚作假方式磋商；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13.7.3成交供应商在规定期限内未能按规定签订合同；</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13.7.4法律法规规定和磋商文件中规定的其它情况。</w:t>
      </w:r>
    </w:p>
    <w:p>
      <w:pPr>
        <w:pStyle w:val="5"/>
        <w:adjustRightInd/>
        <w:spacing w:line="360" w:lineRule="auto"/>
        <w:ind w:firstLine="420" w:firstLineChars="200"/>
        <w:rPr>
          <w:rFonts w:hAnsi="宋体"/>
          <w:color w:val="auto"/>
          <w:sz w:val="21"/>
          <w:szCs w:val="21"/>
          <w:highlight w:val="none"/>
        </w:rPr>
      </w:pPr>
      <w:bookmarkStart w:id="89" w:name="_Toc2525"/>
      <w:bookmarkStart w:id="90" w:name="_Toc480010709"/>
      <w:bookmarkStart w:id="91" w:name="_Toc480020258"/>
      <w:bookmarkStart w:id="92" w:name="_Toc32304"/>
      <w:bookmarkStart w:id="93" w:name="_Toc503758471"/>
      <w:bookmarkStart w:id="94" w:name="_Toc7897877"/>
      <w:bookmarkStart w:id="95" w:name="_Toc480171880"/>
      <w:bookmarkStart w:id="96" w:name="_Toc467987824"/>
      <w:bookmarkStart w:id="97" w:name="_Toc454701382"/>
      <w:bookmarkStart w:id="98" w:name="_Toc458262615"/>
      <w:bookmarkStart w:id="99" w:name="_Toc468157537"/>
      <w:bookmarkStart w:id="100" w:name="_Toc467236741"/>
      <w:bookmarkStart w:id="101" w:name="_Toc479991583"/>
      <w:bookmarkStart w:id="102" w:name="_Toc468606030"/>
      <w:bookmarkStart w:id="103" w:name="_Toc110953842"/>
      <w:bookmarkStart w:id="104" w:name="_Toc480021054"/>
      <w:r>
        <w:rPr>
          <w:rFonts w:hint="eastAsia" w:hAnsi="宋体"/>
          <w:color w:val="auto"/>
          <w:sz w:val="21"/>
          <w:szCs w:val="21"/>
          <w:highlight w:val="none"/>
        </w:rPr>
        <w:t>14.响应有效期</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14.1响应文件从开启响应文件之日起，响应有效期为90个工作日。</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14.2特殊情况下，采购代理机构可于响应有效期期满之前，要求供应商同意延长响应有效期，要求与答复均应为书面形式。对于同意该要求的供应商，既不要求也不允许其修改响应文件。</w:t>
      </w:r>
    </w:p>
    <w:p>
      <w:pPr>
        <w:pStyle w:val="13"/>
        <w:ind w:firstLine="400"/>
        <w:rPr>
          <w:color w:val="auto"/>
          <w:highlight w:val="none"/>
        </w:rPr>
      </w:pPr>
    </w:p>
    <w:bookmarkEnd w:id="68"/>
    <w:bookmarkEnd w:id="69"/>
    <w:bookmarkEnd w:id="70"/>
    <w:bookmarkEnd w:id="71"/>
    <w:bookmarkEnd w:id="72"/>
    <w:p>
      <w:pPr>
        <w:pStyle w:val="4"/>
        <w:adjustRightInd/>
        <w:spacing w:line="360" w:lineRule="auto"/>
        <w:ind w:firstLine="562" w:firstLineChars="200"/>
        <w:jc w:val="center"/>
        <w:rPr>
          <w:color w:val="auto"/>
          <w:sz w:val="28"/>
          <w:szCs w:val="28"/>
          <w:highlight w:val="none"/>
        </w:rPr>
      </w:pPr>
      <w:bookmarkStart w:id="105" w:name="_Toc110953843"/>
      <w:bookmarkStart w:id="106" w:name="_Toc17761"/>
      <w:bookmarkStart w:id="107" w:name="_Toc7897878"/>
      <w:bookmarkStart w:id="108" w:name="_Toc466786438"/>
      <w:bookmarkStart w:id="109" w:name="_Toc6882679"/>
      <w:bookmarkStart w:id="110" w:name="_Toc6968691"/>
      <w:bookmarkStart w:id="111" w:name="_Toc507407363"/>
      <w:bookmarkStart w:id="112" w:name="_Toc102277760"/>
      <w:r>
        <w:rPr>
          <w:rFonts w:hint="eastAsia"/>
          <w:color w:val="auto"/>
          <w:sz w:val="28"/>
          <w:szCs w:val="28"/>
          <w:highlight w:val="none"/>
        </w:rPr>
        <w:t>四、响应文件的递交</w:t>
      </w:r>
      <w:bookmarkEnd w:id="105"/>
      <w:bookmarkEnd w:id="106"/>
      <w:bookmarkEnd w:id="107"/>
    </w:p>
    <w:p>
      <w:pPr>
        <w:pStyle w:val="5"/>
        <w:adjustRightInd/>
        <w:spacing w:line="360" w:lineRule="auto"/>
        <w:ind w:firstLine="420" w:firstLineChars="200"/>
        <w:rPr>
          <w:rFonts w:hAnsi="宋体"/>
          <w:color w:val="auto"/>
          <w:sz w:val="21"/>
          <w:szCs w:val="21"/>
          <w:highlight w:val="none"/>
        </w:rPr>
      </w:pPr>
      <w:bookmarkStart w:id="113" w:name="_Toc110953844"/>
      <w:bookmarkStart w:id="114" w:name="_Toc7897879"/>
      <w:bookmarkStart w:id="115" w:name="_Toc2684"/>
      <w:bookmarkStart w:id="116" w:name="_Toc11500"/>
      <w:r>
        <w:rPr>
          <w:rFonts w:hint="eastAsia" w:hAnsi="宋体"/>
          <w:color w:val="auto"/>
          <w:sz w:val="21"/>
          <w:szCs w:val="21"/>
          <w:highlight w:val="none"/>
        </w:rPr>
        <w:t>15.响应文件的密封和标记</w:t>
      </w:r>
      <w:bookmarkEnd w:id="113"/>
      <w:bookmarkEnd w:id="114"/>
      <w:bookmarkEnd w:id="115"/>
      <w:bookmarkEnd w:id="116"/>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15.1供应商应将响应文件正本和副本用信封分别密封，并标明供应商的名称、采购编号及“正本”或“副本”字样。</w:t>
      </w:r>
    </w:p>
    <w:p>
      <w:pPr>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15.2唱标信封应单独密封，与磋商响应文件一同提交。</w:t>
      </w:r>
    </w:p>
    <w:p>
      <w:pPr>
        <w:tabs>
          <w:tab w:val="left" w:pos="567"/>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15.3在磋商响应文件密封袋上均应标明以下内容：</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① 收 件 人：；</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② 项目名称：；</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③ 采购编号：；</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④        年   月   日   时   分开标，此时间以前不得开封；</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⑤ 标明供应商名称、地址、联系人和电话以及文件的种类（如价格文件、商务技术文件、唱标信封等）。</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15.4供应商应按上述规定进行密封和标记后，将响应文件按照磋商文件中规定的时间和地址送至采购代理机构。</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15.5未按上述规定进行密封、标记和递交的，采购代理机构对响应文件的不依时间递交、误投、破损、封装不合格或提前拆封不负责。</w:t>
      </w:r>
    </w:p>
    <w:p>
      <w:pPr>
        <w:pStyle w:val="5"/>
        <w:adjustRightInd/>
        <w:spacing w:line="360" w:lineRule="auto"/>
        <w:ind w:firstLine="420" w:firstLineChars="200"/>
        <w:rPr>
          <w:rFonts w:hAnsi="宋体"/>
          <w:color w:val="auto"/>
          <w:sz w:val="21"/>
          <w:szCs w:val="21"/>
          <w:highlight w:val="none"/>
        </w:rPr>
      </w:pPr>
      <w:bookmarkStart w:id="117" w:name="_Toc110953845"/>
      <w:bookmarkStart w:id="118" w:name="_Toc10017"/>
      <w:bookmarkStart w:id="119" w:name="_Toc12710"/>
      <w:bookmarkStart w:id="120" w:name="_Toc7897880"/>
      <w:r>
        <w:rPr>
          <w:rFonts w:hint="eastAsia" w:hAnsi="宋体"/>
          <w:color w:val="auto"/>
          <w:sz w:val="21"/>
          <w:szCs w:val="21"/>
          <w:highlight w:val="none"/>
        </w:rPr>
        <w:t>16.响应文件的递交</w:t>
      </w:r>
      <w:bookmarkEnd w:id="117"/>
      <w:bookmarkEnd w:id="118"/>
      <w:bookmarkEnd w:id="119"/>
      <w:bookmarkEnd w:id="120"/>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16.1所有响应文件都必须在响应截止时间之前送至采购代理机构。</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16.2采购代理机构拒绝接受以下文件：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（1）提前递交的文件，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（2）在响应截止时间后递交的响应文件，</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（3）未按规定包装和密封的响应文件。</w:t>
      </w:r>
    </w:p>
    <w:p>
      <w:pPr>
        <w:spacing w:line="360" w:lineRule="auto"/>
        <w:ind w:firstLine="420" w:firstLineChars="200"/>
        <w:rPr>
          <w:rFonts w:hAnsi="宋体"/>
          <w:b/>
          <w:bCs/>
          <w:color w:val="auto"/>
          <w:sz w:val="21"/>
          <w:szCs w:val="21"/>
          <w:highlight w:val="none"/>
          <w:lang w:val="zh-CN"/>
        </w:rPr>
      </w:pPr>
      <w:r>
        <w:rPr>
          <w:rFonts w:hint="eastAsia" w:hAnsi="宋体"/>
          <w:color w:val="auto"/>
          <w:sz w:val="21"/>
          <w:szCs w:val="21"/>
          <w:highlight w:val="none"/>
        </w:rPr>
        <w:t>16.3响应文件的修改与撤回</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（1）供应商在递交响应文件后到响应截止时间之前，可以补充、修改或撤回其响应文件，但供应商必须以书面形式通知采购代理机构。补充、修改的内容与响应文件不一致的，以补偿、修改的内容为准。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（2）除法律法规允许的情况外，在响应截止时间之后至响应有效期之间的这段时间内，供应商不得对其响应文件做任何修改，亦不得撤回其响应，否则磋商保证金将不予退还。</w:t>
      </w:r>
    </w:p>
    <w:p>
      <w:pPr>
        <w:spacing w:line="360" w:lineRule="auto"/>
        <w:ind w:firstLine="420" w:firstLineChars="200"/>
        <w:rPr>
          <w:rFonts w:hAnsi="宋体"/>
          <w:color w:val="auto"/>
          <w:sz w:val="21"/>
          <w:szCs w:val="21"/>
          <w:highlight w:val="none"/>
        </w:rPr>
      </w:pPr>
    </w:p>
    <w:p>
      <w:pPr>
        <w:pStyle w:val="4"/>
        <w:adjustRightInd/>
        <w:spacing w:line="360" w:lineRule="auto"/>
        <w:ind w:firstLine="562" w:firstLineChars="200"/>
        <w:jc w:val="center"/>
        <w:rPr>
          <w:color w:val="auto"/>
          <w:sz w:val="28"/>
          <w:szCs w:val="28"/>
          <w:highlight w:val="none"/>
        </w:rPr>
      </w:pPr>
      <w:bookmarkStart w:id="121" w:name="_Toc22874"/>
      <w:bookmarkStart w:id="122" w:name="_Toc7897881"/>
      <w:r>
        <w:rPr>
          <w:rFonts w:hint="eastAsia"/>
          <w:color w:val="auto"/>
          <w:sz w:val="28"/>
          <w:szCs w:val="28"/>
          <w:highlight w:val="none"/>
        </w:rPr>
        <w:t>五、采购仪式和</w:t>
      </w:r>
      <w:bookmarkEnd w:id="108"/>
      <w:bookmarkEnd w:id="109"/>
      <w:bookmarkEnd w:id="110"/>
      <w:bookmarkEnd w:id="111"/>
      <w:bookmarkEnd w:id="112"/>
      <w:r>
        <w:rPr>
          <w:rFonts w:hint="eastAsia"/>
          <w:color w:val="auto"/>
          <w:sz w:val="28"/>
          <w:szCs w:val="28"/>
          <w:highlight w:val="none"/>
        </w:rPr>
        <w:t>评审会议</w:t>
      </w:r>
      <w:bookmarkEnd w:id="121"/>
      <w:bookmarkEnd w:id="122"/>
    </w:p>
    <w:p>
      <w:pPr>
        <w:pStyle w:val="5"/>
        <w:adjustRightInd/>
        <w:spacing w:line="360" w:lineRule="auto"/>
        <w:ind w:firstLine="422" w:firstLineChars="200"/>
        <w:rPr>
          <w:rFonts w:hAnsi="宋体"/>
          <w:b/>
          <w:color w:val="auto"/>
          <w:sz w:val="21"/>
          <w:szCs w:val="21"/>
          <w:highlight w:val="none"/>
        </w:rPr>
      </w:pPr>
      <w:bookmarkStart w:id="123" w:name="_Toc475249134"/>
      <w:r>
        <w:rPr>
          <w:rFonts w:hint="eastAsia" w:hAnsi="宋体"/>
          <w:b/>
          <w:color w:val="auto"/>
          <w:sz w:val="21"/>
          <w:szCs w:val="21"/>
          <w:highlight w:val="none"/>
        </w:rPr>
        <w:t>17.</w:t>
      </w:r>
      <w:bookmarkEnd w:id="123"/>
      <w:r>
        <w:rPr>
          <w:rFonts w:hint="eastAsia" w:hAnsi="宋体"/>
          <w:b/>
          <w:color w:val="auto"/>
          <w:sz w:val="21"/>
          <w:szCs w:val="21"/>
          <w:highlight w:val="none"/>
        </w:rPr>
        <w:t>开启响应文件</w:t>
      </w:r>
    </w:p>
    <w:p>
      <w:pPr>
        <w:spacing w:line="360" w:lineRule="auto"/>
        <w:ind w:firstLine="420" w:firstLineChars="200"/>
        <w:rPr>
          <w:rFonts w:hAnsi="宋体"/>
          <w:color w:val="auto"/>
          <w:sz w:val="21"/>
          <w:szCs w:val="21"/>
          <w:highlight w:val="none"/>
        </w:rPr>
      </w:pPr>
      <w:bookmarkStart w:id="124" w:name="_Toc475249135"/>
      <w:bookmarkStart w:id="125" w:name="_Toc475249138"/>
      <w:r>
        <w:rPr>
          <w:rFonts w:hint="eastAsia" w:hAnsi="宋体"/>
          <w:color w:val="auto"/>
          <w:sz w:val="21"/>
          <w:szCs w:val="21"/>
          <w:highlight w:val="none"/>
        </w:rPr>
        <w:t>17.1采购代理机构在《磋商邀请书》规定的日期、时间和地点在有供应商代表在场的场合组织采购仪式，参加采购仪式的代表应签名报到以证明其出席。</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17.2开启采购文件前，采购人、采购代理机构和供应商将检查响应文件的密封情况。在确认密封完好后，进行拆封唱标。唱标主要内容为响应文件正本中《报价一览表》的内容以及采购代理机构认为合适的其他内容，并做唱标记录。</w:t>
      </w:r>
    </w:p>
    <w:p>
      <w:pPr>
        <w:pStyle w:val="5"/>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18.磋商小组</w:t>
      </w:r>
      <w:bookmarkEnd w:id="124"/>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18.1采购代理机构将根据项目特点组建磋商小组，磋商小组由采购人代表和评审专家共3人以上单数组成，其中评审专家人数不得少于磋商小组成员总数的2/3。</w:t>
      </w:r>
    </w:p>
    <w:p>
      <w:pPr>
        <w:pStyle w:val="5"/>
        <w:adjustRightInd/>
        <w:spacing w:line="360" w:lineRule="auto"/>
        <w:ind w:firstLine="422" w:firstLineChars="200"/>
        <w:rPr>
          <w:rFonts w:hAnsi="宋体"/>
          <w:b/>
          <w:color w:val="auto"/>
          <w:sz w:val="21"/>
          <w:szCs w:val="21"/>
          <w:highlight w:val="none"/>
        </w:rPr>
      </w:pPr>
      <w:bookmarkStart w:id="126" w:name="_Toc37121259"/>
      <w:bookmarkStart w:id="127" w:name="_Toc535141844"/>
      <w:r>
        <w:rPr>
          <w:rFonts w:hint="eastAsia" w:hAnsi="宋体"/>
          <w:b/>
          <w:color w:val="auto"/>
          <w:sz w:val="21"/>
          <w:szCs w:val="21"/>
          <w:highlight w:val="none"/>
        </w:rPr>
        <w:t>19.对响应文件的初审</w:t>
      </w:r>
      <w:bookmarkEnd w:id="126"/>
      <w:bookmarkEnd w:id="127"/>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19.1开启响应文件后，采购代理机构将组织磋商小组对响应文件进行初审，初审包括资格性审查和符合性审查。</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19.2资格性审查是指依据法律规定和磋商文件的规定，对响应文件中的资格证明等进行审查，确定供应商是否具备响应资格。</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19.3符合性审查是指依据磋商文件的规定，从响应文件的有效性、完整性和对磋商文件的响应程度进行审查，以确定是否对磋商文件的实质性要求作出响应，包括审查响应文件是否完整，有否计算错误，文件签署是否合格，响应书的编排是否有序等。</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19.4在对响应文件进行详细评估之前，磋商小组将审查每份响应文件是否实质上响应了磋商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19.5磋商小组确定响应文件的响应性，只根据响应文件本身的内容，而不寻找外部的证据。</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19.6实质上没有响应磋商文件要求的响应文件将被拒绝。供应商不得通过修正或撤销不合要求的偏离或保留从而使其响应成为实质上的响应。</w:t>
      </w:r>
    </w:p>
    <w:p>
      <w:pPr>
        <w:pStyle w:val="5"/>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20.对响应文件的澄清</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20.1磋商小组在对响应文件的有效性、完整性和响应程度进行审查时，可以要求供应商对响应文件中含义不明确、同类问题表述不一致或者有明显文字和计算错误的内容等作出必要的澄清、说明或者更正。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磋商小组不接受响应人主动提出的澄清、说明或更正。</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20.2响应文件内容表述不一致按照以下方法处理：响应文件中报价一览表内容与响应文件明细表内容不一致的，以报价一览表为准；响应文件的大写金额和小写金额不一致的，以大写金额为准；总价金额与按单价汇总金额不一致的，以单价金额计算结果为准；单价金额小数点有明显错位的，应以单价为准，并修改总价；对不同文字文本响应文件的解释发生异议的，应以中文文本为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20.3供应商的法定代表人或委托代理人应当按照采购代理机构通知的时间和地点接受询问，对响应文件中含义不明确的内容作必要的澄清、说明或者纠正。</w:t>
      </w:r>
    </w:p>
    <w:p>
      <w:pPr>
        <w:pStyle w:val="5"/>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21.开展磋商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21.1主持人宣布评审纪律，磋商小组所有成员及相关工作人员签名确认。</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21.2磋商小组所有成员应当集中与单一供应商分别进行一轮或多轮的磋商（具体磋商轮次由磋商小组视情况决定）在磋商中，磋商小组及有关当事人应当严格遵循保密原则，任何人不得透露与磋商有关的供应商的技术、价格和其他信息。</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21.3在磋商过程中，磋商小组可以根据磋商文件和磋商情况实质性变动采购需求中的技术、服务要求以及合同草案条款，但不得变动磋商文件中的其他内容，并应当以书面形式通知所有参加磋商的供应商。实质性变动的内容，须经采购人代表确认。对磋商文件作出的实质性变动是磋商文件的有效组成部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21.4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pStyle w:val="5"/>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22.最后报价</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22.1磋商文件能够详细列明采购标的的技术、服务要求的，磋商结束后，磋商小组应当要求所有实质性响应的供应商在规定时间内提交最后报价，除法律法规规定的允许的情况外，提交最后报价的供应商不得少于3家。最后报价是供应商响应文件的有效组成部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22.2已提交响应文件的供应商，在提交最后报价之前，可以根据磋商情况退出磋商。采购人、采购代理机构应当退还退出磋商的供应商的磋商保证金。</w:t>
      </w:r>
    </w:p>
    <w:bookmarkEnd w:id="125"/>
    <w:p>
      <w:pPr>
        <w:pStyle w:val="5"/>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23.综合评分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经磋商确定最终采购需求和提交最后报价的供应商后，由磋商小组采用综合评分法对提交最后报价的供应商的响应文件和最后报价进行综合评分。详见本文件《第四篇 评标工作大纲》。</w:t>
      </w:r>
    </w:p>
    <w:p>
      <w:pPr>
        <w:pStyle w:val="13"/>
        <w:ind w:firstLine="400"/>
        <w:rPr>
          <w:color w:val="auto"/>
          <w:highlight w:val="none"/>
        </w:rPr>
      </w:pPr>
    </w:p>
    <w:p>
      <w:pPr>
        <w:pStyle w:val="4"/>
        <w:adjustRightInd/>
        <w:spacing w:line="360" w:lineRule="auto"/>
        <w:ind w:firstLine="562" w:firstLineChars="200"/>
        <w:jc w:val="center"/>
        <w:rPr>
          <w:color w:val="auto"/>
          <w:sz w:val="28"/>
          <w:szCs w:val="28"/>
          <w:highlight w:val="none"/>
        </w:rPr>
      </w:pPr>
      <w:bookmarkStart w:id="128" w:name="_Toc18625"/>
      <w:bookmarkStart w:id="129" w:name="_Toc7897882"/>
      <w:r>
        <w:rPr>
          <w:rFonts w:hint="eastAsia"/>
          <w:color w:val="auto"/>
          <w:sz w:val="28"/>
          <w:szCs w:val="28"/>
          <w:highlight w:val="none"/>
        </w:rPr>
        <w:t>六、确定成交供应商</w:t>
      </w:r>
      <w:bookmarkEnd w:id="128"/>
      <w:bookmarkEnd w:id="129"/>
    </w:p>
    <w:p>
      <w:pPr>
        <w:pStyle w:val="5"/>
        <w:adjustRightInd/>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24.确定成交</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24.1磋商小组完成评审工作后，出具评审报告，推荐3名以上成交候选供应商。符合法律法规允许的情况的，可以推荐2家成交候选供应商。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24.2采购人从成交候选供应商名单中按照综合得分排序确定1名成交供应商。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24.3根据响应或评审情况，采购代理机构保留在确定成交供应商之前任何时候接受或拒绝任何响应，以及宣布评审程序无效或拒绝所有响应的权力，对受影响的供应商不承担任何责任，也无义务向受影响的供应商解释这一行动的理由。</w:t>
      </w:r>
    </w:p>
    <w:p>
      <w:pPr>
        <w:pStyle w:val="5"/>
        <w:adjustRightInd/>
        <w:spacing w:line="360" w:lineRule="auto"/>
        <w:ind w:firstLine="422" w:firstLineChars="200"/>
        <w:rPr>
          <w:rFonts w:hAnsi="宋体"/>
          <w:b/>
          <w:color w:val="auto"/>
          <w:sz w:val="21"/>
          <w:szCs w:val="21"/>
          <w:highlight w:val="none"/>
        </w:rPr>
      </w:pPr>
      <w:bookmarkStart w:id="130" w:name="_Toc475249142"/>
      <w:r>
        <w:rPr>
          <w:rFonts w:hint="eastAsia" w:hAnsi="宋体"/>
          <w:b/>
          <w:color w:val="auto"/>
          <w:sz w:val="21"/>
          <w:szCs w:val="21"/>
          <w:highlight w:val="none"/>
        </w:rPr>
        <w:t>25.成交通知</w:t>
      </w:r>
      <w:bookmarkEnd w:id="130"/>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26.1采购代理机构将在采购人确定成交供应商后之日起的2个工作日内发出《成交通知书》，并公告成交结果。</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25.2《成交通知书》是签订采购合同的依据和组成部分。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25.3成交结果将在采购文件指定的采购信息发布媒体上公告，同时向成交供应商发出成交通知书，并将磋商文件随成交结果同时公告。</w:t>
      </w:r>
    </w:p>
    <w:p>
      <w:pPr>
        <w:pStyle w:val="13"/>
        <w:ind w:firstLine="400"/>
        <w:rPr>
          <w:color w:val="auto"/>
          <w:highlight w:val="none"/>
        </w:rPr>
      </w:pPr>
    </w:p>
    <w:p>
      <w:pPr>
        <w:pStyle w:val="4"/>
        <w:adjustRightInd/>
        <w:spacing w:line="360" w:lineRule="auto"/>
        <w:ind w:firstLine="562" w:firstLineChars="200"/>
        <w:jc w:val="center"/>
        <w:rPr>
          <w:color w:val="auto"/>
          <w:sz w:val="28"/>
          <w:szCs w:val="28"/>
          <w:highlight w:val="none"/>
        </w:rPr>
      </w:pPr>
      <w:bookmarkStart w:id="131" w:name="_Toc110953852"/>
      <w:bookmarkStart w:id="132" w:name="_Toc28276"/>
      <w:bookmarkStart w:id="133" w:name="_Toc37756778"/>
      <w:bookmarkStart w:id="134" w:name="_Toc7897883"/>
      <w:bookmarkStart w:id="135" w:name="_Toc475249143"/>
      <w:r>
        <w:rPr>
          <w:rFonts w:hint="eastAsia"/>
          <w:color w:val="auto"/>
          <w:sz w:val="28"/>
          <w:szCs w:val="28"/>
          <w:highlight w:val="none"/>
        </w:rPr>
        <w:t>七、签订采购合同</w:t>
      </w:r>
      <w:bookmarkEnd w:id="131"/>
      <w:bookmarkEnd w:id="132"/>
      <w:bookmarkEnd w:id="133"/>
      <w:bookmarkEnd w:id="134"/>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26.采购人与成交供应商应当在成交通知书发出之日起30日内，按照采购文件确定的事项签订采购合同。</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27.合同内容不得与磋商文件和响应文件内容有实质性偏离。</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28.采购合同自签订之日起7个工作日内，采购人应将合同副本报采购代理机构归档。</w:t>
      </w:r>
    </w:p>
    <w:p>
      <w:pPr>
        <w:spacing w:line="360" w:lineRule="auto"/>
        <w:ind w:firstLine="420" w:firstLineChars="200"/>
        <w:rPr>
          <w:rFonts w:hAnsi="宋体"/>
          <w:color w:val="auto"/>
          <w:sz w:val="21"/>
          <w:szCs w:val="21"/>
          <w:highlight w:val="none"/>
          <w:lang w:val="zh-CN"/>
        </w:rPr>
      </w:pPr>
      <w:r>
        <w:rPr>
          <w:rFonts w:hint="eastAsia" w:hAnsi="宋体"/>
          <w:color w:val="auto"/>
          <w:sz w:val="21"/>
          <w:szCs w:val="21"/>
          <w:highlight w:val="none"/>
        </w:rPr>
        <w:t>29</w:t>
      </w:r>
      <w:r>
        <w:rPr>
          <w:rFonts w:hint="eastAsia" w:hAnsi="宋体"/>
          <w:color w:val="auto"/>
          <w:sz w:val="21"/>
          <w:szCs w:val="21"/>
          <w:highlight w:val="none"/>
          <w:lang w:val="zh-CN"/>
        </w:rPr>
        <w:tab/>
      </w:r>
      <w:r>
        <w:rPr>
          <w:rFonts w:hint="eastAsia" w:hAnsi="宋体"/>
          <w:color w:val="auto"/>
          <w:sz w:val="21"/>
          <w:szCs w:val="21"/>
          <w:highlight w:val="none"/>
          <w:lang w:val="zh-CN"/>
        </w:rPr>
        <w:t>履约</w:t>
      </w:r>
      <w:r>
        <w:rPr>
          <w:rFonts w:hint="eastAsia" w:hAnsi="宋体"/>
          <w:color w:val="auto"/>
          <w:sz w:val="21"/>
          <w:szCs w:val="21"/>
          <w:highlight w:val="none"/>
        </w:rPr>
        <w:t>担保</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29</w:t>
      </w:r>
      <w:r>
        <w:rPr>
          <w:rFonts w:hint="eastAsia" w:hAnsi="宋体"/>
          <w:color w:val="auto"/>
          <w:sz w:val="21"/>
          <w:szCs w:val="21"/>
          <w:highlight w:val="none"/>
          <w:lang w:val="zh-CN"/>
        </w:rPr>
        <w:t>.1</w:t>
      </w:r>
      <w:r>
        <w:rPr>
          <w:rFonts w:hint="eastAsia" w:hAnsi="宋体"/>
          <w:color w:val="auto"/>
          <w:sz w:val="21"/>
          <w:szCs w:val="21"/>
          <w:highlight w:val="none"/>
        </w:rPr>
        <w:t>签订合同前，成交供应商应提交履约担保。</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29.2成交供应商向采购人提交履约担保，履约担保形式：☑履约保证金；☑ 银行履约保函；□担保公司履约担保书。履约担保金额：合同金额的10%。履约担保账户：采购人指定账户。</w:t>
      </w:r>
    </w:p>
    <w:p>
      <w:pPr>
        <w:spacing w:line="360" w:lineRule="auto"/>
        <w:ind w:firstLine="420" w:firstLineChars="200"/>
        <w:rPr>
          <w:rFonts w:hAnsi="宋体"/>
          <w:color w:val="auto"/>
          <w:sz w:val="21"/>
          <w:szCs w:val="21"/>
          <w:highlight w:val="none"/>
          <w:lang w:val="zh-CN"/>
        </w:rPr>
      </w:pPr>
      <w:r>
        <w:rPr>
          <w:rFonts w:hint="eastAsia" w:hAnsi="宋体"/>
          <w:color w:val="auto"/>
          <w:sz w:val="21"/>
          <w:szCs w:val="21"/>
          <w:highlight w:val="none"/>
        </w:rPr>
        <w:t>29.3</w:t>
      </w:r>
      <w:r>
        <w:rPr>
          <w:rFonts w:hint="eastAsia" w:hAnsi="宋体"/>
          <w:color w:val="auto"/>
          <w:sz w:val="21"/>
          <w:szCs w:val="21"/>
          <w:highlight w:val="none"/>
          <w:lang w:val="zh-CN"/>
        </w:rPr>
        <w:t>履约保函应是由银行支行一级或以上银行机构出具，并经甲方同意，非东莞市行政区内的银行出具的保函需经担保银行所在地公证机关公证并出具公证书。履约保函的内容，应符合招标文件、投标响应文件和招标合同的要求。履约保函应在招标合同有效期满后28天内继续有效。</w:t>
      </w:r>
    </w:p>
    <w:p>
      <w:pPr>
        <w:spacing w:line="360" w:lineRule="auto"/>
        <w:ind w:firstLine="420" w:firstLineChars="200"/>
        <w:rPr>
          <w:rFonts w:hAnsi="宋体"/>
          <w:color w:val="auto"/>
          <w:sz w:val="21"/>
          <w:szCs w:val="21"/>
          <w:highlight w:val="none"/>
          <w:lang w:val="zh-CN"/>
        </w:rPr>
      </w:pPr>
      <w:r>
        <w:rPr>
          <w:rFonts w:hint="eastAsia" w:hAnsi="宋体"/>
          <w:color w:val="auto"/>
          <w:sz w:val="21"/>
          <w:szCs w:val="21"/>
          <w:highlight w:val="none"/>
        </w:rPr>
        <w:t>29.4</w:t>
      </w:r>
      <w:r>
        <w:rPr>
          <w:rFonts w:hint="eastAsia" w:hAnsi="宋体"/>
          <w:color w:val="auto"/>
          <w:sz w:val="21"/>
          <w:szCs w:val="21"/>
          <w:highlight w:val="none"/>
          <w:lang w:val="zh-CN"/>
        </w:rPr>
        <w:t>若成交供应商不按规定提交履约担保，采购人将有充分的理由解除合同，给采购人造成的损失超过投标保证金数额的，还应当对超过部分予以赔偿。</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29.5在整个项目验收合格后，成交供应商向采购人提交退回履约担保的申请，采购人办理履约担保退还手续，将履约担保退回原成交供应商的汇入帐户。</w:t>
      </w:r>
    </w:p>
    <w:p>
      <w:pPr>
        <w:spacing w:line="360" w:lineRule="auto"/>
        <w:ind w:firstLine="420" w:firstLineChars="200"/>
        <w:rPr>
          <w:rFonts w:hAnsi="宋体"/>
          <w:color w:val="auto"/>
          <w:sz w:val="21"/>
          <w:szCs w:val="21"/>
          <w:highlight w:val="none"/>
          <w:lang w:val="zh-CN"/>
        </w:rPr>
      </w:pPr>
      <w:r>
        <w:rPr>
          <w:rFonts w:hint="eastAsia" w:hAnsi="宋体"/>
          <w:color w:val="auto"/>
          <w:sz w:val="21"/>
          <w:szCs w:val="21"/>
          <w:highlight w:val="none"/>
          <w:lang w:val="zh-CN"/>
        </w:rPr>
        <w:t>3</w:t>
      </w:r>
      <w:r>
        <w:rPr>
          <w:rFonts w:hint="eastAsia" w:hAnsi="宋体"/>
          <w:color w:val="auto"/>
          <w:sz w:val="21"/>
          <w:szCs w:val="21"/>
          <w:highlight w:val="none"/>
        </w:rPr>
        <w:t>0</w:t>
      </w:r>
      <w:r>
        <w:rPr>
          <w:rFonts w:hint="eastAsia" w:hAnsi="宋体"/>
          <w:color w:val="auto"/>
          <w:sz w:val="21"/>
          <w:szCs w:val="21"/>
          <w:highlight w:val="none"/>
          <w:lang w:val="zh-CN"/>
        </w:rPr>
        <w:t>.发票</w:t>
      </w:r>
    </w:p>
    <w:p>
      <w:pPr>
        <w:spacing w:line="360" w:lineRule="auto"/>
        <w:ind w:firstLine="420" w:firstLineChars="200"/>
        <w:rPr>
          <w:rFonts w:hAnsi="宋体"/>
          <w:color w:val="auto"/>
          <w:sz w:val="21"/>
          <w:szCs w:val="21"/>
          <w:highlight w:val="none"/>
          <w:lang w:val="zh-CN"/>
        </w:rPr>
      </w:pPr>
      <w:r>
        <w:rPr>
          <w:rFonts w:hint="eastAsia" w:hAnsi="宋体"/>
          <w:color w:val="auto"/>
          <w:sz w:val="21"/>
          <w:szCs w:val="21"/>
          <w:highlight w:val="none"/>
        </w:rPr>
        <w:t>30</w:t>
      </w:r>
      <w:r>
        <w:rPr>
          <w:rFonts w:hint="eastAsia" w:hAnsi="宋体"/>
          <w:color w:val="auto"/>
          <w:sz w:val="21"/>
          <w:szCs w:val="21"/>
          <w:highlight w:val="none"/>
          <w:lang w:val="zh-CN"/>
        </w:rPr>
        <w:t>.1该项目获得中标的成交供应商在执行合同过程中，向采购人出具的发票必须是由成交供应商开具，不得以其他单位或个人名义出具。</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30.2成交供应商需提交增值税率为6%的增值税专用发票，并于备注栏写明项目名称及合同名称。</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30.3在合同履行期间，如遇国家的税率调整，则以开具发票的时间为准，以原合同约定价格不含税金额不变作为基准，按照新税率重新计算含税价格。</w:t>
      </w:r>
    </w:p>
    <w:bookmarkEnd w:id="135"/>
    <w:p>
      <w:pPr>
        <w:pStyle w:val="4"/>
        <w:adjustRightInd/>
        <w:spacing w:line="360" w:lineRule="auto"/>
        <w:ind w:firstLine="562" w:firstLineChars="200"/>
        <w:jc w:val="center"/>
        <w:rPr>
          <w:color w:val="auto"/>
          <w:sz w:val="28"/>
          <w:szCs w:val="28"/>
          <w:highlight w:val="none"/>
          <w:lang w:val="zh-CN"/>
        </w:rPr>
      </w:pPr>
      <w:bookmarkStart w:id="136" w:name="_Toc396137239"/>
      <w:bookmarkStart w:id="137" w:name="_Toc5141"/>
      <w:bookmarkStart w:id="138" w:name="_Toc3498"/>
      <w:r>
        <w:rPr>
          <w:rFonts w:hint="eastAsia"/>
          <w:color w:val="auto"/>
          <w:sz w:val="28"/>
          <w:szCs w:val="28"/>
          <w:highlight w:val="none"/>
          <w:lang w:val="zh-CN"/>
        </w:rPr>
        <w:t>八、质疑与回复</w:t>
      </w:r>
      <w:bookmarkEnd w:id="136"/>
      <w:bookmarkEnd w:id="137"/>
      <w:bookmarkEnd w:id="138"/>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   质疑与回复</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31.1 质疑书应当包括下列主要内容：</w:t>
      </w:r>
    </w:p>
    <w:p>
      <w:pP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（1）供应商的姓名或者名称、地址、邮编、联系人及联系电话；</w:t>
      </w:r>
    </w:p>
    <w:p>
      <w:pP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（2）质疑项目的名称、编号；</w:t>
      </w:r>
    </w:p>
    <w:p>
      <w:pP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（3）具体、明确的质疑事项和与质疑事项相关的请求；</w:t>
      </w:r>
    </w:p>
    <w:p>
      <w:pP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（4）事实依据；</w:t>
      </w:r>
    </w:p>
    <w:p>
      <w:pP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（5）必要的法律依据；</w:t>
      </w:r>
    </w:p>
    <w:p>
      <w:pPr>
        <w:spacing w:line="360" w:lineRule="auto"/>
        <w:ind w:left="539" w:right="17" w:hanging="539"/>
        <w:jc w:val="both"/>
        <w:rPr>
          <w:rFonts w:hAnsi="宋体"/>
          <w:color w:val="auto"/>
          <w:sz w:val="21"/>
          <w:szCs w:val="21"/>
          <w:highlight w:val="none"/>
        </w:rPr>
      </w:pPr>
      <w:r>
        <w:rPr>
          <w:rFonts w:hint="eastAsia" w:hAnsi="宋体"/>
          <w:color w:val="auto"/>
          <w:sz w:val="21"/>
          <w:szCs w:val="21"/>
          <w:highlight w:val="none"/>
        </w:rPr>
        <w:t>　　（6）提出质疑的日期。</w:t>
      </w:r>
    </w:p>
    <w:p>
      <w:pPr>
        <w:spacing w:line="360" w:lineRule="auto"/>
        <w:ind w:firstLine="420" w:firstLineChars="200"/>
        <w:rPr>
          <w:rFonts w:hAnsi="宋体"/>
          <w:color w:val="auto"/>
          <w:sz w:val="21"/>
          <w:szCs w:val="21"/>
          <w:highlight w:val="none"/>
        </w:rPr>
      </w:pPr>
      <w:r>
        <w:rPr>
          <w:rFonts w:hint="eastAsia" w:hAnsi="宋体"/>
          <w:color w:val="auto"/>
          <w:kern w:val="2"/>
          <w:sz w:val="21"/>
          <w:szCs w:val="21"/>
          <w:highlight w:val="none"/>
        </w:rPr>
        <w:t>31</w:t>
      </w:r>
      <w:r>
        <w:rPr>
          <w:rFonts w:hint="eastAsia" w:hAnsi="宋体"/>
          <w:color w:val="auto"/>
          <w:sz w:val="21"/>
          <w:szCs w:val="21"/>
          <w:highlight w:val="none"/>
        </w:rPr>
        <w:t>.2. 质疑书应当署名。质疑人为自然人的，应当由本人签名；质疑人为法人或者</w:t>
      </w:r>
      <w:r>
        <w:rPr>
          <w:rFonts w:hint="eastAsia" w:hAnsi="宋体"/>
          <w:color w:val="auto"/>
          <w:kern w:val="2"/>
          <w:sz w:val="21"/>
          <w:szCs w:val="21"/>
          <w:highlight w:val="none"/>
          <w:lang w:val="zh-CN"/>
        </w:rPr>
        <w:t>其他</w:t>
      </w:r>
      <w:r>
        <w:rPr>
          <w:rFonts w:hint="eastAsia" w:hAnsi="宋体"/>
          <w:color w:val="auto"/>
          <w:sz w:val="21"/>
          <w:szCs w:val="21"/>
          <w:highlight w:val="none"/>
        </w:rPr>
        <w:t>组织的，应当由法定代表人或者主要负责人签名并加盖公章。</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31.3. 供应商认为磋商文件的内容损害其权益的，应当以书面形式（加盖公章）在磋商文件公示期间或者自期满之日起7个工作日内向采购代理机构提交质疑书原件，逾期质疑无效。供应商以电话、传真或电邮形式提交的质疑属于无效质疑。</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32.4. 供应商认为采购过程和中标结果使自己的权益受到损害的，应当以书面形式（加盖公章）在知道或者应知其权益受到损害之日起7个工作日内向采购代理机构提交质疑书原件，逾期质疑无效。供应商以电话、传真或电邮形式提交的质疑属于无效质疑。联系人：罗小姐/0769-22652033；联系地址：东莞市东城莞龙路下桥银门街一号办公楼七楼。</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31.5.供应商在法定质疑期内一次性提出针对同一采购程序环节的质疑。</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31.6.质疑内容不得含有虚假、恶意成分。依据谁主张谁举证的原则，质疑者提供的质疑书应当包括下列主要内容：具体的质疑事项、事实依据及相关确凿的证明材料和注明事实的确切来源、供应商名称、联系人与联系电话、质疑时间，质疑书应当署名并由法定代表人或授权代表签名并加盖公章。采购代理机构受理书面质疑书原件之日起，在规定的期限内作出答复。供应商捏造事实、提供虚假材料或者以非法手段取得证明材料进行投诉的，列入不良行为记录名单，禁止其1至3年内参加采购活动。</w:t>
      </w:r>
    </w:p>
    <w:p>
      <w:pPr>
        <w:spacing w:line="360" w:lineRule="auto"/>
        <w:ind w:firstLine="420" w:firstLineChars="200"/>
        <w:rPr>
          <w:bCs/>
          <w:color w:val="auto"/>
          <w:sz w:val="21"/>
          <w:szCs w:val="21"/>
          <w:highlight w:val="none"/>
        </w:rPr>
      </w:pPr>
      <w:bookmarkStart w:id="139" w:name="_Toc29421"/>
      <w:r>
        <w:rPr>
          <w:rFonts w:hint="eastAsia"/>
          <w:color w:val="auto"/>
          <w:sz w:val="21"/>
          <w:szCs w:val="21"/>
          <w:highlight w:val="none"/>
        </w:rPr>
        <w:t>31.7.采购代理机构在收到供应商的有效书面质疑后7个工作日内作出答复，但答复的内容不涉及商业秘密，质疑供应商对采购人、采购代理机构的质疑答复不满意，或采购人、采购代理机构未在规定期限内作出答复的，可以在答复期满后15个工作日内向同级采购监督管理部门提出投诉。投诉事项应该是经过质疑的事项。</w:t>
      </w:r>
      <w:bookmarkEnd w:id="139"/>
    </w:p>
    <w:p>
      <w:pPr>
        <w:pStyle w:val="3"/>
        <w:keepNext/>
        <w:keepLines/>
        <w:pageBreakBefore/>
        <w:numPr>
          <w:ilvl w:val="0"/>
          <w:numId w:val="10"/>
        </w:numPr>
        <w:tabs>
          <w:tab w:val="left" w:pos="1080"/>
        </w:tabs>
        <w:spacing w:line="360" w:lineRule="auto"/>
        <w:ind w:left="1262" w:hanging="1262" w:hangingChars="449"/>
        <w:jc w:val="center"/>
        <w:rPr>
          <w:rFonts w:hAnsi="宋体"/>
          <w:b/>
          <w:bCs/>
          <w:color w:val="auto"/>
          <w:kern w:val="44"/>
          <w:sz w:val="28"/>
          <w:szCs w:val="28"/>
          <w:highlight w:val="none"/>
          <w:lang w:val="zh-CN"/>
        </w:rPr>
      </w:pPr>
      <w:bookmarkStart w:id="140" w:name="_Toc396137240"/>
      <w:bookmarkStart w:id="141" w:name="_Toc22751"/>
      <w:r>
        <w:rPr>
          <w:rFonts w:hint="eastAsia" w:hAnsi="宋体"/>
          <w:b/>
          <w:bCs/>
          <w:color w:val="auto"/>
          <w:kern w:val="44"/>
          <w:sz w:val="28"/>
          <w:szCs w:val="28"/>
          <w:highlight w:val="none"/>
          <w:lang w:val="zh-CN"/>
        </w:rPr>
        <w:t>用户需求书</w:t>
      </w:r>
      <w:bookmarkEnd w:id="140"/>
      <w:bookmarkEnd w:id="141"/>
    </w:p>
    <w:p>
      <w:pPr>
        <w:pStyle w:val="4"/>
        <w:numPr>
          <w:ilvl w:val="0"/>
          <w:numId w:val="14"/>
        </w:numPr>
        <w:tabs>
          <w:tab w:val="left" w:pos="818"/>
        </w:tabs>
        <w:spacing w:line="360" w:lineRule="auto"/>
        <w:ind w:left="420" w:firstLine="0"/>
        <w:rPr>
          <w:bCs/>
          <w:color w:val="auto"/>
          <w:sz w:val="21"/>
          <w:szCs w:val="21"/>
          <w:highlight w:val="none"/>
        </w:rPr>
      </w:pPr>
      <w:bookmarkStart w:id="142" w:name="_Toc1207"/>
      <w:bookmarkStart w:id="143" w:name="_Toc14501"/>
      <w:r>
        <w:rPr>
          <w:rFonts w:hint="eastAsia"/>
          <w:bCs/>
          <w:color w:val="auto"/>
          <w:sz w:val="21"/>
          <w:szCs w:val="21"/>
          <w:highlight w:val="none"/>
        </w:rPr>
        <w:t>项目情况</w:t>
      </w:r>
      <w:bookmarkEnd w:id="142"/>
      <w:bookmarkEnd w:id="143"/>
    </w:p>
    <w:p>
      <w:pPr>
        <w:spacing w:line="360"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项目名称：</w:t>
      </w:r>
      <w:r>
        <w:rPr>
          <w:rFonts w:hint="eastAsia" w:hAnsi="宋体"/>
          <w:color w:val="auto"/>
          <w:sz w:val="21"/>
          <w:szCs w:val="21"/>
          <w:highlight w:val="none"/>
        </w:rPr>
        <w:t>旗云花园销售中心案场及展示区物业服务项目</w:t>
      </w:r>
    </w:p>
    <w:p>
      <w:pPr>
        <w:spacing w:line="360" w:lineRule="auto"/>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w:t>
      </w:r>
      <w:r>
        <w:rPr>
          <w:rFonts w:hAnsi="宋体"/>
          <w:color w:val="auto"/>
          <w:sz w:val="21"/>
          <w:szCs w:val="21"/>
          <w:highlight w:val="none"/>
        </w:rPr>
        <w:t>项目地址</w:t>
      </w:r>
      <w:r>
        <w:rPr>
          <w:rFonts w:hint="eastAsia" w:hAnsi="宋体"/>
          <w:color w:val="auto"/>
          <w:sz w:val="21"/>
          <w:szCs w:val="21"/>
          <w:highlight w:val="none"/>
        </w:rPr>
        <w:t>及概况</w:t>
      </w:r>
      <w:r>
        <w:rPr>
          <w:rFonts w:hAnsi="宋体"/>
          <w:color w:val="auto"/>
          <w:sz w:val="21"/>
          <w:szCs w:val="21"/>
          <w:highlight w:val="none"/>
        </w:rPr>
        <w:t>：</w:t>
      </w:r>
      <w:r>
        <w:rPr>
          <w:rFonts w:hint="eastAsia"/>
          <w:color w:val="auto"/>
          <w:sz w:val="21"/>
          <w:szCs w:val="21"/>
          <w:highlight w:val="none"/>
        </w:rPr>
        <w:t>本项目位于东莞市石龙镇。旗云花园总占地面积16462.13平方米，建筑面积约11.34万平方米。其中可售住宅面积约8.24万平方米，可售商铺面积约0.2万平方米，车位数量为681个（其中125个是人防车位、可售车位556个）。</w:t>
      </w:r>
    </w:p>
    <w:p>
      <w:pPr>
        <w:pStyle w:val="4"/>
        <w:numPr>
          <w:ilvl w:val="0"/>
          <w:numId w:val="14"/>
        </w:numPr>
        <w:tabs>
          <w:tab w:val="left" w:pos="818"/>
        </w:tabs>
        <w:spacing w:line="360" w:lineRule="auto"/>
        <w:ind w:left="420" w:firstLine="0"/>
        <w:rPr>
          <w:bCs/>
          <w:color w:val="auto"/>
          <w:sz w:val="21"/>
          <w:szCs w:val="21"/>
          <w:highlight w:val="none"/>
        </w:rPr>
      </w:pPr>
      <w:r>
        <w:rPr>
          <w:rFonts w:hint="eastAsia"/>
          <w:bCs/>
          <w:color w:val="auto"/>
          <w:sz w:val="21"/>
          <w:szCs w:val="21"/>
          <w:highlight w:val="none"/>
        </w:rPr>
        <w:t>服务范围</w:t>
      </w:r>
    </w:p>
    <w:p>
      <w:pPr>
        <w:spacing w:line="360" w:lineRule="auto"/>
        <w:ind w:firstLine="420" w:firstLineChars="200"/>
        <w:rPr>
          <w:rFonts w:ascii="楷体_GB2312" w:eastAsia="楷体_GB2312"/>
          <w:b/>
          <w:color w:val="auto"/>
          <w:sz w:val="32"/>
          <w:szCs w:val="32"/>
          <w:highlight w:val="none"/>
        </w:rPr>
      </w:pPr>
      <w:r>
        <w:rPr>
          <w:rFonts w:hint="eastAsia" w:hAnsi="宋体"/>
          <w:color w:val="auto"/>
          <w:sz w:val="21"/>
          <w:szCs w:val="21"/>
          <w:highlight w:val="none"/>
        </w:rPr>
        <w:t>1、项目</w:t>
      </w:r>
      <w:r>
        <w:rPr>
          <w:rFonts w:hAnsi="宋体"/>
          <w:color w:val="auto"/>
          <w:sz w:val="21"/>
          <w:szCs w:val="21"/>
          <w:highlight w:val="none"/>
        </w:rPr>
        <w:t>范围：</w:t>
      </w:r>
      <w:r>
        <w:rPr>
          <w:rFonts w:hint="eastAsia" w:hAnsi="宋体"/>
          <w:color w:val="auto"/>
          <w:sz w:val="21"/>
          <w:szCs w:val="21"/>
          <w:highlight w:val="none"/>
        </w:rPr>
        <w:t>采购1家物业管理公司，物业管理的具体范围为：东实旗云花园销售中心案场及展示区（含临时咨询中心、销售中心、样板房、停车场等展示区）。服务范围具体如下</w:t>
      </w:r>
      <w:r>
        <w:rPr>
          <w:rFonts w:hAnsi="宋体"/>
          <w:color w:val="auto"/>
          <w:sz w:val="21"/>
          <w:szCs w:val="21"/>
          <w:highlight w:val="none"/>
        </w:rPr>
        <w:t>：</w:t>
      </w:r>
    </w:p>
    <w:tbl>
      <w:tblPr>
        <w:tblStyle w:val="53"/>
        <w:tblW w:w="0" w:type="auto"/>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2239"/>
        <w:gridCol w:w="1581"/>
        <w:gridCol w:w="1923"/>
        <w:gridCol w:w="2190"/>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370" w:hRule="atLeast"/>
          <w:jc w:val="center"/>
        </w:trPr>
        <w:tc>
          <w:tcPr>
            <w:tcW w:w="223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auto"/>
                <w:sz w:val="21"/>
                <w:szCs w:val="21"/>
                <w:highlight w:val="none"/>
              </w:rPr>
            </w:pPr>
            <w:r>
              <w:rPr>
                <w:rFonts w:hint="eastAsia" w:hAnsi="宋体"/>
                <w:b/>
                <w:color w:val="auto"/>
                <w:sz w:val="21"/>
                <w:szCs w:val="21"/>
                <w:highlight w:val="none"/>
              </w:rPr>
              <w:t>内容</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auto"/>
                <w:sz w:val="21"/>
                <w:szCs w:val="21"/>
                <w:highlight w:val="none"/>
              </w:rPr>
            </w:pPr>
            <w:r>
              <w:rPr>
                <w:rFonts w:hint="eastAsia" w:hAnsi="宋体"/>
                <w:b/>
                <w:color w:val="auto"/>
                <w:sz w:val="21"/>
                <w:szCs w:val="21"/>
                <w:highlight w:val="none"/>
              </w:rPr>
              <w:t>相关数据资料</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auto"/>
                <w:sz w:val="21"/>
                <w:szCs w:val="21"/>
                <w:highlight w:val="none"/>
              </w:rPr>
            </w:pPr>
            <w:r>
              <w:rPr>
                <w:rFonts w:hint="eastAsia" w:hAnsi="宋体"/>
                <w:b/>
                <w:color w:val="auto"/>
                <w:sz w:val="21"/>
                <w:szCs w:val="21"/>
                <w:highlight w:val="none"/>
              </w:rPr>
              <w:t>内容</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auto"/>
                <w:sz w:val="21"/>
                <w:szCs w:val="21"/>
                <w:highlight w:val="none"/>
              </w:rPr>
            </w:pPr>
            <w:r>
              <w:rPr>
                <w:rFonts w:hint="eastAsia" w:hAnsi="宋体"/>
                <w:b/>
                <w:color w:val="auto"/>
                <w:sz w:val="21"/>
                <w:szCs w:val="21"/>
                <w:highlight w:val="none"/>
              </w:rPr>
              <w:t>相关数据资料</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188" w:hRule="atLeast"/>
          <w:jc w:val="center"/>
        </w:trPr>
        <w:tc>
          <w:tcPr>
            <w:tcW w:w="7933" w:type="dxa"/>
            <w:gridSpan w:val="4"/>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hAnsi="宋体"/>
                <w:color w:val="auto"/>
                <w:sz w:val="21"/>
                <w:szCs w:val="21"/>
                <w:highlight w:val="none"/>
              </w:rPr>
            </w:pPr>
            <w:r>
              <w:rPr>
                <w:rFonts w:hint="eastAsia" w:hAnsi="宋体"/>
                <w:color w:val="auto"/>
                <w:sz w:val="21"/>
                <w:szCs w:val="21"/>
                <w:highlight w:val="none"/>
              </w:rPr>
              <w:t>销售中心数据资料</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200" w:hRule="atLeast"/>
          <w:jc w:val="center"/>
        </w:trPr>
        <w:tc>
          <w:tcPr>
            <w:tcW w:w="2239"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rPr>
            </w:pPr>
            <w:r>
              <w:rPr>
                <w:rFonts w:hint="eastAsia" w:hAnsi="宋体"/>
                <w:color w:val="auto"/>
                <w:sz w:val="21"/>
                <w:szCs w:val="21"/>
                <w:highlight w:val="none"/>
              </w:rPr>
              <w:t>销售中心</w:t>
            </w:r>
          </w:p>
        </w:tc>
        <w:tc>
          <w:tcPr>
            <w:tcW w:w="1581"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rPr>
            </w:pPr>
            <w:r>
              <w:rPr>
                <w:rFonts w:hint="eastAsia" w:hAnsi="宋体"/>
                <w:color w:val="auto"/>
                <w:sz w:val="21"/>
                <w:szCs w:val="21"/>
                <w:highlight w:val="none"/>
                <w:u w:val="single"/>
              </w:rPr>
              <w:t>835</w:t>
            </w:r>
            <w:r>
              <w:rPr>
                <w:rFonts w:hint="eastAsia" w:hAnsi="宋体"/>
                <w:color w:val="auto"/>
                <w:sz w:val="21"/>
                <w:szCs w:val="21"/>
                <w:highlight w:val="none"/>
              </w:rPr>
              <w:t>㎡</w:t>
            </w:r>
          </w:p>
        </w:tc>
        <w:tc>
          <w:tcPr>
            <w:tcW w:w="1923"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rPr>
            </w:pPr>
            <w:r>
              <w:rPr>
                <w:rFonts w:hint="eastAsia" w:hAnsi="宋体"/>
                <w:color w:val="auto"/>
                <w:sz w:val="21"/>
                <w:szCs w:val="21"/>
                <w:highlight w:val="none"/>
              </w:rPr>
              <w:t>样板房</w:t>
            </w:r>
          </w:p>
        </w:tc>
        <w:tc>
          <w:tcPr>
            <w:tcW w:w="2190"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rPr>
            </w:pPr>
            <w:r>
              <w:rPr>
                <w:rFonts w:hint="eastAsia" w:hAnsi="宋体"/>
                <w:color w:val="auto"/>
                <w:sz w:val="21"/>
                <w:szCs w:val="21"/>
                <w:highlight w:val="none"/>
                <w:u w:val="single"/>
              </w:rPr>
              <w:t>404.38</w:t>
            </w:r>
            <w:r>
              <w:rPr>
                <w:rFonts w:hint="eastAsia" w:hAnsi="宋体"/>
                <w:color w:val="auto"/>
                <w:sz w:val="21"/>
                <w:szCs w:val="21"/>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200" w:hRule="atLeast"/>
          <w:jc w:val="center"/>
        </w:trPr>
        <w:tc>
          <w:tcPr>
            <w:tcW w:w="2239"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rPr>
            </w:pPr>
            <w:r>
              <w:rPr>
                <w:rFonts w:hint="eastAsia" w:hAnsi="宋体"/>
                <w:color w:val="auto"/>
                <w:sz w:val="21"/>
                <w:szCs w:val="21"/>
                <w:highlight w:val="none"/>
              </w:rPr>
              <w:t>电梯前厅</w:t>
            </w:r>
          </w:p>
        </w:tc>
        <w:tc>
          <w:tcPr>
            <w:tcW w:w="1581" w:type="dxa"/>
            <w:tcBorders>
              <w:top w:val="single" w:color="auto" w:sz="4" w:space="0"/>
              <w:left w:val="single" w:color="auto" w:sz="4" w:space="0"/>
              <w:bottom w:val="single" w:color="auto" w:sz="4" w:space="0"/>
              <w:right w:val="single" w:color="auto" w:sz="4" w:space="0"/>
            </w:tcBorders>
            <w:vAlign w:val="center"/>
          </w:tcPr>
          <w:p>
            <w:pPr>
              <w:ind w:firstLine="630" w:firstLineChars="300"/>
              <w:jc w:val="both"/>
              <w:rPr>
                <w:rFonts w:hAnsi="宋体"/>
                <w:color w:val="auto"/>
                <w:sz w:val="21"/>
                <w:szCs w:val="21"/>
                <w:highlight w:val="none"/>
              </w:rPr>
            </w:pPr>
            <w:r>
              <w:rPr>
                <w:rFonts w:hint="eastAsia" w:hAnsi="宋体"/>
                <w:color w:val="auto"/>
                <w:sz w:val="21"/>
                <w:szCs w:val="21"/>
                <w:highlight w:val="none"/>
                <w:u w:val="single"/>
              </w:rPr>
              <w:t>0</w:t>
            </w:r>
            <w:r>
              <w:rPr>
                <w:rFonts w:hint="eastAsia" w:hAnsi="宋体"/>
                <w:color w:val="auto"/>
                <w:sz w:val="21"/>
                <w:szCs w:val="21"/>
                <w:highlight w:val="none"/>
              </w:rPr>
              <w:t>㎡</w:t>
            </w:r>
          </w:p>
        </w:tc>
        <w:tc>
          <w:tcPr>
            <w:tcW w:w="1923"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rPr>
            </w:pPr>
            <w:r>
              <w:rPr>
                <w:rFonts w:hint="eastAsia" w:hAnsi="宋体"/>
                <w:color w:val="auto"/>
                <w:sz w:val="21"/>
                <w:szCs w:val="21"/>
                <w:highlight w:val="none"/>
              </w:rPr>
              <w:t>停车场</w:t>
            </w:r>
          </w:p>
        </w:tc>
        <w:tc>
          <w:tcPr>
            <w:tcW w:w="2190"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rPr>
            </w:pPr>
            <w:r>
              <w:rPr>
                <w:rFonts w:hint="eastAsia" w:hAnsi="宋体"/>
                <w:color w:val="auto"/>
                <w:sz w:val="21"/>
                <w:szCs w:val="21"/>
                <w:highlight w:val="none"/>
                <w:u w:val="single"/>
              </w:rPr>
              <w:t>985.23</w:t>
            </w:r>
            <w:r>
              <w:rPr>
                <w:rFonts w:hint="eastAsia" w:hAnsi="宋体"/>
                <w:color w:val="auto"/>
                <w:sz w:val="21"/>
                <w:szCs w:val="21"/>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206" w:hRule="atLeast"/>
          <w:jc w:val="center"/>
        </w:trPr>
        <w:tc>
          <w:tcPr>
            <w:tcW w:w="2239"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rPr>
            </w:pPr>
            <w:r>
              <w:rPr>
                <w:rFonts w:hint="eastAsia" w:hAnsi="宋体"/>
                <w:color w:val="auto"/>
                <w:sz w:val="21"/>
                <w:szCs w:val="21"/>
                <w:highlight w:val="none"/>
              </w:rPr>
              <w:t>车位</w:t>
            </w:r>
          </w:p>
        </w:tc>
        <w:tc>
          <w:tcPr>
            <w:tcW w:w="1581"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u w:val="single"/>
              </w:rPr>
            </w:pPr>
            <w:r>
              <w:rPr>
                <w:rFonts w:hint="eastAsia" w:hAnsi="宋体"/>
                <w:color w:val="auto"/>
                <w:sz w:val="21"/>
                <w:szCs w:val="21"/>
                <w:highlight w:val="none"/>
                <w:u w:val="single"/>
              </w:rPr>
              <w:t>40</w:t>
            </w:r>
            <w:r>
              <w:rPr>
                <w:rFonts w:hint="eastAsia" w:hAnsi="宋体"/>
                <w:color w:val="auto"/>
                <w:sz w:val="21"/>
                <w:szCs w:val="21"/>
                <w:highlight w:val="none"/>
              </w:rPr>
              <w:t>个</w:t>
            </w:r>
          </w:p>
        </w:tc>
        <w:tc>
          <w:tcPr>
            <w:tcW w:w="1923"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rPr>
            </w:pPr>
            <w:r>
              <w:rPr>
                <w:rFonts w:hint="eastAsia" w:hAnsi="宋体"/>
                <w:color w:val="auto"/>
                <w:sz w:val="21"/>
                <w:szCs w:val="21"/>
                <w:highlight w:val="none"/>
              </w:rPr>
              <w:t>车位</w:t>
            </w:r>
          </w:p>
        </w:tc>
        <w:tc>
          <w:tcPr>
            <w:tcW w:w="2190" w:type="dxa"/>
            <w:tcBorders>
              <w:top w:val="single" w:color="auto" w:sz="4" w:space="0"/>
              <w:left w:val="single" w:color="auto" w:sz="4" w:space="0"/>
              <w:bottom w:val="single" w:color="auto" w:sz="4" w:space="0"/>
              <w:right w:val="single" w:color="auto" w:sz="4" w:space="0"/>
            </w:tcBorders>
            <w:vAlign w:val="center"/>
          </w:tcPr>
          <w:p>
            <w:pPr>
              <w:ind w:firstLine="525" w:firstLineChars="250"/>
              <w:jc w:val="both"/>
              <w:rPr>
                <w:rFonts w:hAnsi="宋体"/>
                <w:color w:val="auto"/>
                <w:sz w:val="21"/>
                <w:szCs w:val="21"/>
                <w:highlight w:val="none"/>
                <w:u w:val="single"/>
              </w:rPr>
            </w:pPr>
            <w:r>
              <w:rPr>
                <w:rFonts w:hint="eastAsia" w:hAnsi="宋体"/>
                <w:color w:val="auto"/>
                <w:sz w:val="21"/>
                <w:szCs w:val="21"/>
                <w:highlight w:val="none"/>
                <w:u w:val="single"/>
              </w:rPr>
              <w:t>40</w:t>
            </w:r>
            <w:r>
              <w:rPr>
                <w:rFonts w:hint="eastAsia" w:hAnsi="宋体"/>
                <w:color w:val="auto"/>
                <w:sz w:val="21"/>
                <w:szCs w:val="21"/>
                <w:highlight w:val="none"/>
              </w:rPr>
              <w:t>个</w:t>
            </w:r>
          </w:p>
        </w:tc>
      </w:tr>
    </w:tbl>
    <w:p>
      <w:pPr>
        <w:widowControl/>
        <w:spacing w:line="360" w:lineRule="auto"/>
        <w:ind w:firstLine="840" w:firstLineChars="400"/>
        <w:rPr>
          <w:rFonts w:hAnsi="宋体"/>
          <w:color w:val="auto"/>
          <w:sz w:val="21"/>
          <w:szCs w:val="21"/>
          <w:highlight w:val="none"/>
        </w:rPr>
      </w:pPr>
      <w:r>
        <w:rPr>
          <w:rFonts w:hint="eastAsia" w:hAnsi="宋体"/>
          <w:color w:val="auto"/>
          <w:sz w:val="21"/>
          <w:szCs w:val="21"/>
          <w:highlight w:val="none"/>
        </w:rPr>
        <w:t>注：以上物业概况数据供参考，以物业实际情况为准。</w:t>
      </w:r>
    </w:p>
    <w:p>
      <w:pPr>
        <w:pStyle w:val="4"/>
        <w:numPr>
          <w:ilvl w:val="0"/>
          <w:numId w:val="14"/>
        </w:numPr>
        <w:tabs>
          <w:tab w:val="left" w:pos="818"/>
        </w:tabs>
        <w:spacing w:line="360" w:lineRule="auto"/>
        <w:ind w:left="420" w:firstLine="0"/>
        <w:rPr>
          <w:bCs/>
          <w:color w:val="auto"/>
          <w:sz w:val="21"/>
          <w:szCs w:val="21"/>
          <w:highlight w:val="none"/>
        </w:rPr>
      </w:pPr>
      <w:bookmarkStart w:id="144" w:name="_Toc5494"/>
      <w:r>
        <w:rPr>
          <w:rFonts w:hint="eastAsia"/>
          <w:bCs/>
          <w:color w:val="auto"/>
          <w:sz w:val="21"/>
          <w:szCs w:val="21"/>
          <w:highlight w:val="none"/>
        </w:rPr>
        <w:t>服务要求</w:t>
      </w:r>
    </w:p>
    <w:p>
      <w:pPr>
        <w:widowControl/>
        <w:numPr>
          <w:ilvl w:val="0"/>
          <w:numId w:val="15"/>
        </w:numPr>
        <w:spacing w:line="360" w:lineRule="auto"/>
        <w:ind w:left="480" w:leftChars="200" w:right="-53"/>
        <w:textAlignment w:val="bottom"/>
        <w:rPr>
          <w:rFonts w:hAnsi="宋体"/>
          <w:b/>
          <w:color w:val="auto"/>
          <w:sz w:val="21"/>
          <w:szCs w:val="21"/>
          <w:highlight w:val="none"/>
        </w:rPr>
      </w:pPr>
      <w:r>
        <w:rPr>
          <w:rFonts w:hint="eastAsia" w:hAnsi="宋体"/>
          <w:b/>
          <w:color w:val="auto"/>
          <w:sz w:val="21"/>
          <w:szCs w:val="21"/>
          <w:highlight w:val="none"/>
        </w:rPr>
        <w:t>物业管理服务期限</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服务期限： 2020年8月26日至2022年8月25日（具体服务时间以采购人书面通知为准）。</w:t>
      </w:r>
    </w:p>
    <w:p>
      <w:pPr>
        <w:widowControl/>
        <w:numPr>
          <w:ilvl w:val="0"/>
          <w:numId w:val="15"/>
        </w:numPr>
        <w:spacing w:line="360" w:lineRule="auto"/>
        <w:ind w:left="480" w:leftChars="200" w:right="-53"/>
        <w:textAlignment w:val="bottom"/>
        <w:rPr>
          <w:rFonts w:hAnsi="宋体"/>
          <w:b/>
          <w:color w:val="auto"/>
          <w:sz w:val="21"/>
          <w:szCs w:val="21"/>
          <w:highlight w:val="none"/>
        </w:rPr>
      </w:pPr>
      <w:r>
        <w:rPr>
          <w:rFonts w:hint="eastAsia" w:hAnsi="宋体"/>
          <w:b/>
          <w:color w:val="auto"/>
          <w:sz w:val="21"/>
          <w:szCs w:val="21"/>
          <w:highlight w:val="none"/>
        </w:rPr>
        <w:t>主要服务内容：</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rPr>
        <w:t>1、物业管理公司（成交供应商）针对本项目成立物业管理专项小组，提供本项目销售中心案场物业管理服务。</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rPr>
        <w:t>2、物业管理工作包括但不限于：销售中心案场及展示区管理：安全、清洁卫生、案场形象管理，配合营销客户接待、样板房讲解、大小型活动布场等配合、样板房装修维护等。</w:t>
      </w:r>
    </w:p>
    <w:p>
      <w:pPr>
        <w:widowControl/>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（三）销售中心案场人员要求及标准：</w:t>
      </w:r>
    </w:p>
    <w:tbl>
      <w:tblPr>
        <w:tblStyle w:val="53"/>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15" w:type="dxa"/>
          <w:left w:w="15" w:type="dxa"/>
          <w:bottom w:w="15" w:type="dxa"/>
          <w:right w:w="15" w:type="dxa"/>
        </w:tblCellMar>
      </w:tblPr>
      <w:tblGrid>
        <w:gridCol w:w="481"/>
        <w:gridCol w:w="1779"/>
        <w:gridCol w:w="589"/>
        <w:gridCol w:w="621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08" w:hRule="atLeast"/>
          <w:jc w:val="center"/>
        </w:trPr>
        <w:tc>
          <w:tcPr>
            <w:tcW w:w="9063" w:type="dxa"/>
            <w:gridSpan w:val="4"/>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营销中心案场人员素质要求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08" w:hRule="atLeast"/>
          <w:jc w:val="center"/>
        </w:trPr>
        <w:tc>
          <w:tcPr>
            <w:tcW w:w="48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序号</w:t>
            </w:r>
          </w:p>
        </w:tc>
        <w:tc>
          <w:tcPr>
            <w:tcW w:w="177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岗位</w:t>
            </w:r>
          </w:p>
        </w:tc>
        <w:tc>
          <w:tcPr>
            <w:tcW w:w="58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编制</w:t>
            </w:r>
          </w:p>
        </w:tc>
        <w:tc>
          <w:tcPr>
            <w:tcW w:w="6214"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任职标准</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80" w:hRule="atLeast"/>
          <w:jc w:val="center"/>
        </w:trPr>
        <w:tc>
          <w:tcPr>
            <w:tcW w:w="481"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1</w:t>
            </w:r>
          </w:p>
        </w:tc>
        <w:tc>
          <w:tcPr>
            <w:tcW w:w="17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营销案场物业经理（项目经理）</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1</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大专以上学历，男女不限，25-35岁，形象气质佳，沟通能力强，有较强的管理能力，培训能力，有酒店管理或物业案场5年以上工作经历</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481"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2</w:t>
            </w:r>
          </w:p>
        </w:tc>
        <w:tc>
          <w:tcPr>
            <w:tcW w:w="17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客服/接待员</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4</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高中及以上学历，女性，18-28岁，身高165cm以上，形象气质佳，亲和力强。</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481"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3</w:t>
            </w:r>
          </w:p>
        </w:tc>
        <w:tc>
          <w:tcPr>
            <w:tcW w:w="17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门童/礼宾</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1</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初中及以上学历，身高180cm以上，30岁以下，身体健康，形象气质好，无不良嗜好。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481"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4</w:t>
            </w:r>
          </w:p>
        </w:tc>
        <w:tc>
          <w:tcPr>
            <w:tcW w:w="17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安全员</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2</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初中及以上学历，身高175cm以上，30岁以下，身体健康，形象气质好，无不良嗜好。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56" w:hRule="atLeast"/>
          <w:jc w:val="center"/>
        </w:trPr>
        <w:tc>
          <w:tcPr>
            <w:tcW w:w="481"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5</w:t>
            </w:r>
          </w:p>
        </w:tc>
        <w:tc>
          <w:tcPr>
            <w:tcW w:w="17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保洁员</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3</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45岁以下，身体健康，吃苦耐劳，有保洁工作经历优先。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08" w:hRule="atLeast"/>
          <w:jc w:val="center"/>
        </w:trPr>
        <w:tc>
          <w:tcPr>
            <w:tcW w:w="226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小计</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11</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66" w:hRule="atLeast"/>
          <w:jc w:val="center"/>
        </w:trPr>
        <w:tc>
          <w:tcPr>
            <w:tcW w:w="9063" w:type="dxa"/>
            <w:gridSpan w:val="4"/>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项目编制总人数不得低于11人，</w:t>
            </w:r>
            <w:r>
              <w:rPr>
                <w:rFonts w:hint="eastAsia" w:hAnsi="宋体"/>
                <w:color w:val="auto"/>
                <w:sz w:val="21"/>
                <w:szCs w:val="21"/>
                <w:highlight w:val="none"/>
                <w:lang w:eastAsia="zh-CN"/>
              </w:rPr>
              <w:t>采购人</w:t>
            </w:r>
            <w:r>
              <w:rPr>
                <w:rFonts w:hint="eastAsia" w:hAnsi="宋体"/>
                <w:color w:val="auto"/>
                <w:sz w:val="21"/>
                <w:szCs w:val="21"/>
                <w:highlight w:val="none"/>
              </w:rPr>
              <w:t>后期可根据各阶段实际需要进行调整编制。</w:t>
            </w:r>
          </w:p>
        </w:tc>
      </w:tr>
    </w:tbl>
    <w:p>
      <w:pPr>
        <w:widowControl/>
        <w:ind w:firstLine="422" w:firstLineChars="200"/>
        <w:rPr>
          <w:rFonts w:hAnsi="宋体"/>
          <w:b/>
          <w:color w:val="auto"/>
          <w:sz w:val="21"/>
          <w:szCs w:val="21"/>
          <w:highlight w:val="none"/>
        </w:rPr>
      </w:pPr>
      <w:r>
        <w:rPr>
          <w:rFonts w:hint="eastAsia" w:hAnsi="宋体"/>
          <w:b/>
          <w:color w:val="auto"/>
          <w:sz w:val="21"/>
          <w:szCs w:val="21"/>
          <w:highlight w:val="none"/>
        </w:rPr>
        <w:t>（四）销售中心案场物业服务要求：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84"/>
        <w:gridCol w:w="614"/>
        <w:gridCol w:w="614"/>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4" w:type="dxa"/>
            <w:gridSpan w:val="5"/>
          </w:tcPr>
          <w:p>
            <w:pPr>
              <w:widowControl/>
              <w:jc w:val="center"/>
              <w:rPr>
                <w:rFonts w:hAnsi="宋体"/>
                <w:b/>
                <w:bCs/>
                <w:color w:val="auto"/>
                <w:sz w:val="21"/>
                <w:szCs w:val="21"/>
                <w:highlight w:val="none"/>
              </w:rPr>
            </w:pPr>
            <w:r>
              <w:rPr>
                <w:rFonts w:hint="eastAsia" w:hAnsi="宋体"/>
                <w:b/>
                <w:bCs/>
                <w:color w:val="auto"/>
                <w:sz w:val="21"/>
                <w:szCs w:val="21"/>
                <w:highlight w:val="none"/>
              </w:rPr>
              <w:t>营销中心接待流程及要求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b/>
                <w:bCs/>
                <w:color w:val="auto"/>
                <w:sz w:val="21"/>
                <w:szCs w:val="21"/>
                <w:highlight w:val="none"/>
              </w:rPr>
            </w:pPr>
            <w:r>
              <w:rPr>
                <w:rFonts w:hint="eastAsia" w:hAnsi="宋体"/>
                <w:b/>
                <w:bCs/>
                <w:color w:val="auto"/>
                <w:sz w:val="21"/>
                <w:szCs w:val="21"/>
                <w:highlight w:val="none"/>
              </w:rPr>
              <w:t>序号</w:t>
            </w:r>
          </w:p>
        </w:tc>
        <w:tc>
          <w:tcPr>
            <w:tcW w:w="984" w:type="dxa"/>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区域</w:t>
            </w:r>
          </w:p>
        </w:tc>
        <w:tc>
          <w:tcPr>
            <w:tcW w:w="614" w:type="dxa"/>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部门</w:t>
            </w:r>
          </w:p>
        </w:tc>
        <w:tc>
          <w:tcPr>
            <w:tcW w:w="614" w:type="dxa"/>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职位</w:t>
            </w:r>
          </w:p>
        </w:tc>
        <w:tc>
          <w:tcPr>
            <w:tcW w:w="6317" w:type="dxa"/>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p>
          <w:p>
            <w:pPr>
              <w:widowControl/>
              <w:jc w:val="center"/>
              <w:rPr>
                <w:rFonts w:hAnsi="宋体"/>
                <w:color w:val="auto"/>
                <w:sz w:val="21"/>
                <w:szCs w:val="21"/>
                <w:highlight w:val="none"/>
              </w:rPr>
            </w:pPr>
          </w:p>
          <w:p>
            <w:pPr>
              <w:widowControl/>
              <w:jc w:val="center"/>
              <w:rPr>
                <w:rFonts w:hAnsi="宋体"/>
                <w:color w:val="auto"/>
                <w:sz w:val="21"/>
                <w:szCs w:val="21"/>
                <w:highlight w:val="none"/>
              </w:rPr>
            </w:pPr>
            <w:r>
              <w:rPr>
                <w:rFonts w:hint="eastAsia" w:hAnsi="宋体"/>
                <w:color w:val="auto"/>
                <w:sz w:val="21"/>
                <w:szCs w:val="21"/>
                <w:highlight w:val="none"/>
              </w:rPr>
              <w:t>1</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停车场入口</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保安</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客户车辆到达营销中心停车场入口，保安下岗亭询问客户“您好，欢迎光临旗云花园，请问您有预约看房吗”</w:t>
            </w:r>
          </w:p>
          <w:p>
            <w:pPr>
              <w:widowControl/>
              <w:rPr>
                <w:rFonts w:hAnsi="宋体"/>
                <w:color w:val="auto"/>
                <w:sz w:val="21"/>
                <w:szCs w:val="21"/>
                <w:highlight w:val="none"/>
              </w:rPr>
            </w:pPr>
            <w:r>
              <w:rPr>
                <w:rFonts w:hint="eastAsia" w:hAnsi="宋体"/>
                <w:color w:val="auto"/>
                <w:sz w:val="21"/>
                <w:szCs w:val="21"/>
                <w:highlight w:val="none"/>
              </w:rPr>
              <w:t>看房客户答复后——“好的，请往右边/左边停车”，同时用对讲机告知指引岗及营销中心岗同事准备接待工作。</w:t>
            </w:r>
          </w:p>
          <w:p>
            <w:pPr>
              <w:widowControl/>
              <w:rPr>
                <w:rFonts w:hAnsi="宋体"/>
                <w:color w:val="auto"/>
                <w:sz w:val="21"/>
                <w:szCs w:val="21"/>
                <w:highlight w:val="none"/>
              </w:rPr>
            </w:pPr>
            <w:r>
              <w:rPr>
                <w:rFonts w:hint="eastAsia" w:hAnsi="宋体"/>
                <w:color w:val="auto"/>
                <w:sz w:val="21"/>
                <w:szCs w:val="21"/>
                <w:highlight w:val="none"/>
              </w:rPr>
              <w:t>合作单位或其它外来车辆，确认后放行，同时用对讲机告知指引岗及营销中心岗同事。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p>
          <w:p>
            <w:pPr>
              <w:widowControl/>
              <w:jc w:val="center"/>
              <w:rPr>
                <w:rFonts w:hAnsi="宋体"/>
                <w:color w:val="auto"/>
                <w:sz w:val="21"/>
                <w:szCs w:val="21"/>
                <w:highlight w:val="none"/>
              </w:rPr>
            </w:pPr>
            <w:r>
              <w:rPr>
                <w:rFonts w:hint="eastAsia" w:hAnsi="宋体"/>
                <w:color w:val="auto"/>
                <w:sz w:val="21"/>
                <w:szCs w:val="21"/>
                <w:highlight w:val="none"/>
              </w:rPr>
              <w:t>2</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停车场指引</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保安</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客户车辆进入停车场，指引岗指引客户停车。待客户停好车后，缓开车门，致以亲切问候！“您好，欢迎光临旗云花园！”并帮客户关上车门。</w:t>
            </w:r>
          </w:p>
          <w:p>
            <w:pPr>
              <w:widowControl/>
              <w:rPr>
                <w:rFonts w:hAnsi="宋体"/>
                <w:color w:val="auto"/>
                <w:sz w:val="21"/>
                <w:szCs w:val="21"/>
                <w:highlight w:val="none"/>
              </w:rPr>
            </w:pPr>
            <w:r>
              <w:rPr>
                <w:rFonts w:hint="eastAsia" w:hAnsi="宋体"/>
                <w:color w:val="auto"/>
                <w:sz w:val="21"/>
                <w:szCs w:val="21"/>
                <w:highlight w:val="none"/>
              </w:rPr>
              <w:t>“这边请”，做出指引动作，并遮阳（雨）护送至营销中心。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p>
          <w:p>
            <w:pPr>
              <w:widowControl/>
              <w:jc w:val="center"/>
              <w:rPr>
                <w:rFonts w:hAnsi="宋体"/>
                <w:color w:val="auto"/>
                <w:sz w:val="21"/>
                <w:szCs w:val="21"/>
                <w:highlight w:val="none"/>
              </w:rPr>
            </w:pPr>
            <w:r>
              <w:rPr>
                <w:rFonts w:hint="eastAsia" w:hAnsi="宋体"/>
                <w:color w:val="auto"/>
                <w:sz w:val="21"/>
                <w:szCs w:val="21"/>
                <w:highlight w:val="none"/>
              </w:rPr>
              <w:t>3</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营销中心入口</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保安</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非开车客户——“您好！欢迎光临旗云花园，请问您有预约看房吗”</w:t>
            </w:r>
          </w:p>
          <w:p>
            <w:pPr>
              <w:widowControl/>
              <w:rPr>
                <w:rFonts w:hAnsi="宋体"/>
                <w:color w:val="auto"/>
                <w:sz w:val="21"/>
                <w:szCs w:val="21"/>
                <w:highlight w:val="none"/>
              </w:rPr>
            </w:pPr>
            <w:r>
              <w:rPr>
                <w:rFonts w:hint="eastAsia" w:hAnsi="宋体"/>
                <w:color w:val="auto"/>
                <w:sz w:val="21"/>
                <w:szCs w:val="21"/>
                <w:highlight w:val="none"/>
              </w:rPr>
              <w:t>看房客户答复后——转由销售经理进行接待。</w:t>
            </w:r>
          </w:p>
          <w:p>
            <w:pPr>
              <w:widowControl/>
              <w:rPr>
                <w:rFonts w:hAnsi="宋体"/>
                <w:color w:val="auto"/>
                <w:sz w:val="21"/>
                <w:szCs w:val="21"/>
                <w:highlight w:val="none"/>
              </w:rPr>
            </w:pPr>
            <w:r>
              <w:rPr>
                <w:rFonts w:hint="eastAsia" w:hAnsi="宋体"/>
                <w:color w:val="auto"/>
                <w:sz w:val="21"/>
                <w:szCs w:val="21"/>
                <w:highlight w:val="none"/>
              </w:rPr>
              <w:t>开车客户——“您好！欢迎光临旗云花园。”——转由销售经理进行接待。</w:t>
            </w:r>
          </w:p>
          <w:p>
            <w:pPr>
              <w:widowControl/>
              <w:rPr>
                <w:rFonts w:hAnsi="宋体"/>
                <w:color w:val="auto"/>
                <w:sz w:val="21"/>
                <w:szCs w:val="21"/>
                <w:highlight w:val="none"/>
              </w:rPr>
            </w:pPr>
            <w:r>
              <w:rPr>
                <w:rFonts w:hint="eastAsia" w:hAnsi="宋体"/>
                <w:color w:val="auto"/>
                <w:sz w:val="21"/>
                <w:szCs w:val="21"/>
                <w:highlight w:val="none"/>
              </w:rPr>
              <w:t>其它人员——确认事宜后方可放行。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r>
              <w:rPr>
                <w:rFonts w:hint="eastAsia" w:hAnsi="宋体"/>
                <w:color w:val="auto"/>
                <w:sz w:val="21"/>
                <w:szCs w:val="21"/>
                <w:highlight w:val="none"/>
              </w:rPr>
              <w:t>4</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洽谈区、吧台</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客服</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客服递上茶水，并向客户问好——“您好，请用茶”。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r>
              <w:rPr>
                <w:rFonts w:hint="eastAsia" w:hAnsi="宋体"/>
                <w:color w:val="auto"/>
                <w:sz w:val="21"/>
                <w:szCs w:val="21"/>
                <w:highlight w:val="none"/>
              </w:rPr>
              <w:t>5</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小区园林入口</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保安</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客户——刷卡进入——微笑服务。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p>
          <w:p>
            <w:pPr>
              <w:widowControl/>
              <w:jc w:val="center"/>
              <w:rPr>
                <w:rFonts w:hAnsi="宋体"/>
                <w:color w:val="auto"/>
                <w:sz w:val="21"/>
                <w:szCs w:val="21"/>
                <w:highlight w:val="none"/>
              </w:rPr>
            </w:pPr>
            <w:r>
              <w:rPr>
                <w:rFonts w:hint="eastAsia" w:hAnsi="宋体"/>
                <w:color w:val="auto"/>
                <w:sz w:val="21"/>
                <w:szCs w:val="21"/>
                <w:highlight w:val="none"/>
              </w:rPr>
              <w:t>6</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电梯厅</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客服</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当客户进入、离开时，提前按好电梯并按好层数，用单手挡住电梯门或按住下行按钮，防止电梯门突然关闭。规范用语：“您好，这边请。我们样板房在楼，祝您参观愉快。”“欢迎下次光临，请慢走。”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r>
              <w:rPr>
                <w:rFonts w:hint="eastAsia" w:hAnsi="宋体"/>
                <w:color w:val="auto"/>
                <w:sz w:val="21"/>
                <w:szCs w:val="21"/>
                <w:highlight w:val="none"/>
              </w:rPr>
              <w:t>7</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样板房</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客服</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当客户进入样板房时，按照说辞给客户介绍项目样板房。规范用语：“您好，欢迎参观。接下来由我为你介绍一下你所在的户型”。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r>
              <w:rPr>
                <w:rFonts w:hint="eastAsia" w:hAnsi="宋体"/>
                <w:color w:val="auto"/>
                <w:sz w:val="21"/>
                <w:szCs w:val="21"/>
                <w:highlight w:val="none"/>
              </w:rPr>
              <w:t>8</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客户离开</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保安</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停车指引岗保安帮客户拉开车门，送客户上车。客户离开时敬礼、目送。</w:t>
            </w:r>
          </w:p>
        </w:tc>
      </w:tr>
    </w:tbl>
    <w:p>
      <w:pPr>
        <w:rPr>
          <w:color w:val="auto"/>
          <w:highlight w:val="none"/>
        </w:rPr>
      </w:pPr>
    </w:p>
    <w:bookmarkEnd w:id="144"/>
    <w:p>
      <w:pPr>
        <w:pStyle w:val="4"/>
        <w:numPr>
          <w:ilvl w:val="0"/>
          <w:numId w:val="14"/>
        </w:numPr>
        <w:tabs>
          <w:tab w:val="left" w:pos="818"/>
        </w:tabs>
        <w:spacing w:line="360" w:lineRule="auto"/>
        <w:ind w:left="420" w:firstLine="0"/>
        <w:rPr>
          <w:bCs/>
          <w:color w:val="auto"/>
          <w:sz w:val="21"/>
          <w:szCs w:val="21"/>
          <w:highlight w:val="none"/>
        </w:rPr>
      </w:pPr>
      <w:bookmarkStart w:id="145" w:name="_Toc3344"/>
      <w:r>
        <w:rPr>
          <w:rFonts w:hint="eastAsia"/>
          <w:bCs/>
          <w:color w:val="auto"/>
          <w:sz w:val="21"/>
          <w:szCs w:val="21"/>
          <w:highlight w:val="none"/>
        </w:rPr>
        <w:t>磋商报价</w:t>
      </w:r>
      <w:bookmarkEnd w:id="145"/>
    </w:p>
    <w:p>
      <w:pPr>
        <w:widowControl/>
        <w:numPr>
          <w:ilvl w:val="0"/>
          <w:numId w:val="16"/>
        </w:numPr>
        <w:spacing w:line="360" w:lineRule="auto"/>
        <w:ind w:firstLine="420" w:firstLineChars="200"/>
        <w:rPr>
          <w:rFonts w:hint="eastAsia" w:hAnsi="宋体"/>
          <w:b/>
          <w:bCs/>
          <w:color w:val="auto"/>
          <w:sz w:val="21"/>
          <w:szCs w:val="21"/>
          <w:highlight w:val="none"/>
          <w:lang w:eastAsia="zh-CN"/>
        </w:rPr>
      </w:pPr>
      <w:r>
        <w:rPr>
          <w:rFonts w:hint="eastAsia" w:hAnsi="宋体"/>
          <w:color w:val="auto"/>
          <w:sz w:val="21"/>
          <w:szCs w:val="21"/>
          <w:highlight w:val="none"/>
        </w:rPr>
        <w:t>本项目为总价包干项目，报价</w:t>
      </w:r>
      <w:r>
        <w:rPr>
          <w:rFonts w:hint="eastAsia" w:hAnsi="宋体"/>
          <w:color w:val="auto"/>
          <w:sz w:val="21"/>
          <w:szCs w:val="21"/>
          <w:highlight w:val="none"/>
          <w:lang w:eastAsia="zh-CN"/>
        </w:rPr>
        <w:t>分为含税报价（税率为</w:t>
      </w:r>
      <w:r>
        <w:rPr>
          <w:rFonts w:hint="eastAsia" w:hAnsi="宋体"/>
          <w:color w:val="auto"/>
          <w:sz w:val="21"/>
          <w:szCs w:val="21"/>
          <w:highlight w:val="none"/>
          <w:lang w:val="en-US" w:eastAsia="zh-CN"/>
        </w:rPr>
        <w:t>6%</w:t>
      </w:r>
      <w:r>
        <w:rPr>
          <w:rFonts w:hint="eastAsia" w:hAnsi="宋体"/>
          <w:color w:val="auto"/>
          <w:sz w:val="21"/>
          <w:szCs w:val="21"/>
          <w:highlight w:val="none"/>
          <w:lang w:eastAsia="zh-CN"/>
        </w:rPr>
        <w:t>）和不含税报价。</w:t>
      </w:r>
    </w:p>
    <w:p>
      <w:pPr>
        <w:widowControl/>
        <w:numPr>
          <w:ilvl w:val="-1"/>
          <w:numId w:val="0"/>
        </w:numPr>
        <w:spacing w:line="360" w:lineRule="auto"/>
        <w:ind w:firstLine="0" w:firstLineChars="0"/>
        <w:rPr>
          <w:rFonts w:hint="eastAsia" w:hAnsi="宋体"/>
          <w:b/>
          <w:bCs/>
          <w:color w:val="auto"/>
          <w:sz w:val="21"/>
          <w:szCs w:val="21"/>
          <w:highlight w:val="none"/>
          <w:lang w:eastAsia="zh-CN"/>
        </w:rPr>
      </w:pPr>
      <w:r>
        <w:rPr>
          <w:rFonts w:hint="eastAsia" w:hAnsi="宋体"/>
          <w:b/>
          <w:bCs/>
          <w:color w:val="auto"/>
          <w:sz w:val="21"/>
          <w:szCs w:val="21"/>
          <w:highlight w:val="none"/>
          <w:lang w:val="en-US" w:eastAsia="zh-CN"/>
        </w:rPr>
        <w:t xml:space="preserve">      ①</w:t>
      </w:r>
      <w:r>
        <w:rPr>
          <w:rFonts w:hint="eastAsia" w:hAnsi="宋体"/>
          <w:color w:val="auto"/>
          <w:sz w:val="21"/>
          <w:szCs w:val="21"/>
          <w:highlight w:val="none"/>
          <w:lang w:eastAsia="zh-CN"/>
        </w:rPr>
        <w:t>含税报价</w:t>
      </w:r>
      <w:r>
        <w:rPr>
          <w:rFonts w:hint="eastAsia" w:hAnsi="宋体"/>
          <w:color w:val="auto"/>
          <w:sz w:val="21"/>
          <w:szCs w:val="21"/>
          <w:highlight w:val="none"/>
        </w:rPr>
        <w:t>包括成交供应商为完成项目所需的人工费用、宿舍费用、服装费用、税费等，设备设施维护费用、清洁维护用品费用等一切成本、费用</w:t>
      </w:r>
      <w:r>
        <w:rPr>
          <w:rFonts w:hint="eastAsia" w:hAnsi="宋体"/>
          <w:color w:val="auto"/>
          <w:sz w:val="21"/>
          <w:szCs w:val="21"/>
          <w:highlight w:val="none"/>
          <w:lang w:eastAsia="zh-CN"/>
        </w:rPr>
        <w:t>、</w:t>
      </w:r>
      <w:r>
        <w:rPr>
          <w:rFonts w:hint="eastAsia" w:hAnsi="宋体"/>
          <w:color w:val="auto"/>
          <w:sz w:val="21"/>
          <w:szCs w:val="21"/>
          <w:highlight w:val="none"/>
        </w:rPr>
        <w:t>利润和</w:t>
      </w:r>
      <w:r>
        <w:rPr>
          <w:rFonts w:hint="eastAsia" w:hAnsi="宋体"/>
          <w:color w:val="auto"/>
          <w:sz w:val="21"/>
          <w:szCs w:val="21"/>
          <w:highlight w:val="none"/>
          <w:lang w:eastAsia="zh-CN"/>
        </w:rPr>
        <w:t>税金</w:t>
      </w:r>
      <w:r>
        <w:rPr>
          <w:rFonts w:hint="eastAsia" w:hAnsi="宋体"/>
          <w:b/>
          <w:bCs/>
          <w:color w:val="auto"/>
          <w:sz w:val="21"/>
          <w:szCs w:val="21"/>
          <w:highlight w:val="none"/>
          <w:lang w:eastAsia="zh-CN"/>
        </w:rPr>
        <w:t>。</w:t>
      </w:r>
    </w:p>
    <w:p>
      <w:pPr>
        <w:widowControl/>
        <w:numPr>
          <w:ilvl w:val="-1"/>
          <w:numId w:val="0"/>
        </w:numPr>
        <w:spacing w:line="360" w:lineRule="auto"/>
        <w:ind w:firstLine="632" w:firstLineChars="300"/>
        <w:rPr>
          <w:rFonts w:hint="eastAsia" w:hAnsi="宋体"/>
          <w:b/>
          <w:bCs/>
          <w:color w:val="auto"/>
          <w:sz w:val="21"/>
          <w:szCs w:val="21"/>
          <w:highlight w:val="none"/>
          <w:lang w:eastAsia="zh-CN"/>
        </w:rPr>
      </w:pPr>
      <w:r>
        <w:rPr>
          <w:rFonts w:hint="eastAsia" w:hAnsi="宋体"/>
          <w:b/>
          <w:bCs/>
          <w:color w:val="auto"/>
          <w:sz w:val="21"/>
          <w:szCs w:val="21"/>
          <w:highlight w:val="none"/>
          <w:lang w:eastAsia="zh-CN"/>
        </w:rPr>
        <w:t>②</w:t>
      </w:r>
      <w:r>
        <w:rPr>
          <w:rFonts w:hint="eastAsia" w:hAnsi="宋体"/>
          <w:color w:val="auto"/>
          <w:sz w:val="21"/>
          <w:szCs w:val="21"/>
          <w:highlight w:val="none"/>
          <w:lang w:eastAsia="zh-CN"/>
        </w:rPr>
        <w:t>不含税报价</w:t>
      </w:r>
      <w:r>
        <w:rPr>
          <w:rFonts w:hint="eastAsia" w:hAnsi="宋体"/>
          <w:color w:val="auto"/>
          <w:sz w:val="21"/>
          <w:szCs w:val="21"/>
          <w:highlight w:val="none"/>
        </w:rPr>
        <w:t>包括</w:t>
      </w:r>
      <w:r>
        <w:rPr>
          <w:rFonts w:hint="eastAsia" w:hAnsi="宋体"/>
          <w:color w:val="auto"/>
          <w:sz w:val="21"/>
          <w:szCs w:val="21"/>
          <w:highlight w:val="none"/>
          <w:lang w:eastAsia="zh-CN"/>
        </w:rPr>
        <w:t>除税金以外</w:t>
      </w:r>
      <w:r>
        <w:rPr>
          <w:rFonts w:hint="eastAsia" w:hAnsi="宋体"/>
          <w:color w:val="auto"/>
          <w:sz w:val="21"/>
          <w:szCs w:val="21"/>
          <w:highlight w:val="none"/>
        </w:rPr>
        <w:t>成交供应商为完成项目所需的人工费用、宿舍费用、服装费用、税费等，设备设施维护费用、清洁维护用品费用等一切成本、费用和利润</w:t>
      </w:r>
      <w:r>
        <w:rPr>
          <w:rFonts w:hint="eastAsia" w:hAnsi="宋体"/>
          <w:b/>
          <w:bCs/>
          <w:color w:val="auto"/>
          <w:sz w:val="21"/>
          <w:szCs w:val="21"/>
          <w:highlight w:val="none"/>
          <w:lang w:eastAsia="zh-CN"/>
        </w:rPr>
        <w:t>。</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2</w:t>
      </w:r>
      <w:r>
        <w:rPr>
          <w:rFonts w:hint="eastAsia" w:hAnsi="宋体"/>
          <w:color w:val="auto"/>
          <w:sz w:val="21"/>
          <w:szCs w:val="21"/>
          <w:highlight w:val="none"/>
          <w:lang w:eastAsia="zh-CN"/>
        </w:rPr>
        <w:t>）</w:t>
      </w:r>
      <w:r>
        <w:rPr>
          <w:rFonts w:hint="eastAsia" w:hAnsi="宋体"/>
          <w:color w:val="auto"/>
          <w:sz w:val="21"/>
          <w:szCs w:val="21"/>
          <w:highlight w:val="none"/>
        </w:rPr>
        <w:t>若供应商对某些项目未报价，则应认为已包括在其它项目的单价和合价以及总报价内。</w:t>
      </w:r>
    </w:p>
    <w:p>
      <w:pPr>
        <w:pStyle w:val="2"/>
        <w:rPr>
          <w:color w:val="auto"/>
          <w:highlight w:val="none"/>
        </w:rPr>
      </w:pPr>
    </w:p>
    <w:p>
      <w:pPr>
        <w:pStyle w:val="4"/>
        <w:numPr>
          <w:ilvl w:val="0"/>
          <w:numId w:val="14"/>
        </w:numPr>
        <w:tabs>
          <w:tab w:val="left" w:pos="818"/>
        </w:tabs>
        <w:spacing w:line="360" w:lineRule="auto"/>
        <w:ind w:left="420" w:firstLine="0"/>
        <w:rPr>
          <w:bCs/>
          <w:color w:val="auto"/>
          <w:sz w:val="21"/>
          <w:szCs w:val="21"/>
          <w:highlight w:val="none"/>
        </w:rPr>
      </w:pPr>
      <w:r>
        <w:rPr>
          <w:rFonts w:hint="eastAsia"/>
          <w:bCs/>
          <w:color w:val="auto"/>
          <w:sz w:val="21"/>
          <w:szCs w:val="21"/>
          <w:highlight w:val="none"/>
        </w:rPr>
        <w:t>物业服务管理质量考核</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rPr>
        <w:t>1、为加强物业管理工作监督检查，落实管理责任，提高服务质量，搞好物业管理服务。采购人决定对物业管理公司（成交供应商）实施考核管理，考核实行月度考评和日常考核制度。</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rPr>
        <w:t>2、月度考核按自然月进行，由采购人相关部门负责人按保安、保洁月度考评量表对项目销售中心案场管理服务质量进行综合考评，作为物业管理月度绩效考评依据。</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rPr>
        <w:t>3、项目销售中心案场管理服务月度绩效考核结果得分在90以上，采购人按合同向物业管理公司（成交供应商）支付全额费用；得分在80-90之间，按合同金额的90%支付；得分在70-80之间，按合同金额的80%支付，责令限期整改； 得分在60-70之间，按合同金额的70%支付，责令限期整改；得分在60分以下，按合同金额的50%支付，采购人有权解除合同。（详见附件一：物业管理考核细则）</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rPr>
        <w:t>4、物业管理考核实施环节：</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rPr>
        <w:t>（1）日常考核由旗云公司主管，旗山公司市场运营部协管。</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rPr>
        <w:t>（2）物业主管部门在日常工作中发现问题必须及时纠正，并就发现的问题出具处罚单，经责任人签字确认后，交旗山公司备案；旗山公司协管部门在日常工作中如发现问题应及时通知物业主管部门，由物业主管部门当场出具处罚单，经责任人签字确认后，交旗山公司备案。</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rPr>
        <w:t>（3）月度考核在每月底之前完成，由旗云公司根据当月物业服务综合质量，结合日常考核结果，对保安、保洁进行分项统计和评分，月度考核结果报旗山公司审批备案后，发送物业管理公司（成交供应商）。</w:t>
      </w:r>
    </w:p>
    <w:p>
      <w:pPr>
        <w:widowControl/>
        <w:spacing w:line="360" w:lineRule="auto"/>
        <w:ind w:firstLine="420" w:firstLineChars="200"/>
        <w:rPr>
          <w:rFonts w:hAnsi="宋体"/>
          <w:color w:val="auto"/>
          <w:sz w:val="21"/>
          <w:szCs w:val="21"/>
          <w:highlight w:val="none"/>
        </w:rPr>
      </w:pPr>
      <w:r>
        <w:rPr>
          <w:rFonts w:hint="eastAsia" w:hAnsi="宋体"/>
          <w:color w:val="auto"/>
          <w:sz w:val="21"/>
          <w:szCs w:val="21"/>
          <w:highlight w:val="none"/>
        </w:rPr>
        <w:t>（4）日常考核中如发生检查人与责任人意见相左，检查人可先通过书面记录和拍照等方式记录下当时情况，再报由旗云公司及物业管理公司（成交供应商）相关分管领导审议确定；月度考核中如物业管理公司（成交供应商）对考核结果存在异议，可在次月初3日内向旗云公司提出申诉，经双方相关分管领导审议确定审批。</w:t>
      </w:r>
    </w:p>
    <w:p>
      <w:pPr>
        <w:rPr>
          <w:color w:val="auto"/>
          <w:highlight w:val="none"/>
        </w:rPr>
      </w:pPr>
    </w:p>
    <w:p>
      <w:pPr>
        <w:rPr>
          <w:color w:val="auto"/>
          <w:highlight w:val="none"/>
          <w:lang w:val="zh-CN"/>
        </w:rPr>
      </w:pPr>
    </w:p>
    <w:p>
      <w:pPr>
        <w:rPr>
          <w:rFonts w:hAnsi="宋体"/>
          <w:color w:val="auto"/>
          <w:sz w:val="21"/>
          <w:szCs w:val="21"/>
          <w:highlight w:val="none"/>
        </w:rPr>
      </w:pPr>
      <w:r>
        <w:rPr>
          <w:rFonts w:hint="eastAsia" w:hAnsi="宋体"/>
          <w:color w:val="auto"/>
          <w:sz w:val="21"/>
          <w:szCs w:val="21"/>
          <w:highlight w:val="none"/>
        </w:rPr>
        <w:t>附件一：《物业管理考核细则》</w:t>
      </w:r>
    </w:p>
    <w:p>
      <w:pPr>
        <w:pStyle w:val="47"/>
        <w:spacing w:line="360" w:lineRule="auto"/>
        <w:ind w:firstLine="413" w:firstLineChars="196"/>
        <w:jc w:val="center"/>
        <w:rPr>
          <w:rFonts w:asciiTheme="minorEastAsia" w:hAnsiTheme="minorEastAsia" w:eastAsiaTheme="minorEastAsia" w:cstheme="minorEastAsia"/>
          <w:b/>
          <w:color w:val="auto"/>
          <w:highlight w:val="none"/>
        </w:rPr>
      </w:pPr>
      <w:bookmarkStart w:id="146" w:name="_Toc13957"/>
      <w:r>
        <w:rPr>
          <w:rFonts w:hint="eastAsia" w:asciiTheme="minorEastAsia" w:hAnsiTheme="minorEastAsia" w:eastAsiaTheme="minorEastAsia" w:cstheme="minorEastAsia"/>
          <w:b/>
          <w:color w:val="auto"/>
          <w:highlight w:val="none"/>
        </w:rPr>
        <w:t>一、保安质量检查项目及标准</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 保安人员熟悉区域环境，文明执勤，实行24小时值班，每小时至少两次巡逻，严禁脱岗；</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 制订安全防范措施，对可疑人员进行例行的询问、检查，建立日常安保记录制度；</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（三）对各种车辆管理有序，有专人指挥、疏导率100%，无堵塞交通现象，不影响行人及车辆正常通行；</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（四）严禁车辆非特殊情况进入项目内非规定停车场地；</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（五）全面负责项目区域内的财产和设备的安全保卫工作，对项目的重要设施，落实好相应的安全防范工作；</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（六）负责维护管辖区域内治安秩序，预防和查处安全事故，认真做好上岗执勤纪律，严格执行交接班制度，做好书面交接记录；</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（七）负责制定各类突发事件的处理程序，处理当班突发事件，如火灾、偷盗等立即报警，并迅速与消防、治安部门联系；</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（八）严格检查项目各区域进出的货物，防止危险品进入项目区域内；</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（九）配合旗云公司在项目区域内开展的各项活动，确保活动期间安保工作无任何意外发生；</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（十）上班时间着装整齐，门岗姿态规范，手势标准，无穿便装上班的现象；</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（十一）上班时间不做与工作无关的事，严禁打瞌睡，脱岗。</w:t>
      </w:r>
    </w:p>
    <w:p>
      <w:pPr>
        <w:pStyle w:val="47"/>
        <w:spacing w:line="360" w:lineRule="auto"/>
        <w:ind w:firstLine="413" w:firstLineChars="196"/>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二、保洁质量检查项目及标准</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（一）公共卫生间</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1.每天早班、中班必须全面清洁洗手间、座厕、尿槽、洗手盆；地面应定期清洗，随时冲洗，注意循环保洁；</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2.洗手间内发现烟头、纸屑及其它杂物、污渍时，要及时进行清洁，更换垃圾袋；</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3.地面无积水，座厕、洗手盆、尿槽无积尘、无污渍，天花板无蜘蛛网、无积尘；</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4.镜面、墙面、金属等无水渍、污渍、光亮并干燥；</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5.注意维修事项及时处理，以确保设备、设施的完好。</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 各类地面</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1.项目区域内循环清扫，要保持地面无烟头、杂物、纸屑，对汽车轮带入项目区域内的泥沙等要及时清理干净，各门前地面要定期清洁，各停车场地每天随时清扫，保持整洁；</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2.项目内部各区域注意日常除尘，每天保持整洁，无污渍，定期清洗地面；</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3.公共场所的走廊、过道、楼梯的日常保洁；</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4.大理石、瓷砖等硬质地面，要求表面及其接缝清洁干净，水泥地面干净无损坏，墙角线、地角线及客人易发现的地方无积尘、杂物、污渍等。</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 玻璃金属类</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1.每班各岗位必须对自管区域内的玻璃进行擦拭或用清洁器进行擦拭，要求无水渍、污渍、尘渍，达到玻璃光洁明亮；</w:t>
      </w:r>
    </w:p>
    <w:p>
      <w:pPr>
        <w:pStyle w:val="47"/>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2。对铜、不锈钢及其它金属材料制成的装饰、栏杆、指示牌、台架、灯座等用专业清洁剂擦亮，要求无锈痕、污渍、手印等；</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3.各类金属擦拭时，必须按纹理进行，切勿用硬物刮铲，以防人为性的损坏；</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4.玻璃门、窗、幕墙、镜面等要求洁净无暇，玻璃趟槽、窗门趟槽干净，无积尘、无沙粒。</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 综合类</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1.墙面、墙底干净，无污渍、无破损、无脱胶，大理石瓷片、瓷砖、塑料板墙等干净明亮、整洁，木板墙、胶合板墙、各种雕饰、金属装饰的墙、门窗、挂篓等洁净无积尘，无脱漆等；</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2.花槽、花盆内无杂物、烟头、纸屑、香口胶等，摆花周围保持洁净，叶片无积尘等；</w:t>
      </w:r>
    </w:p>
    <w:p>
      <w:pPr>
        <w:pStyle w:val="47"/>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3.各种悬挂指示牌、天灯筒灯、射灯、装饰灯及装饰物要求干净、整洁、无积尘、无污渍， 天花板无蜘蛛网。</w:t>
      </w:r>
    </w:p>
    <w:p>
      <w:pPr>
        <w:spacing w:line="560" w:lineRule="exact"/>
        <w:jc w:val="center"/>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三、安保工作月度考核评分表</w:t>
      </w:r>
    </w:p>
    <w:p>
      <w:pPr>
        <w:spacing w:line="5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                           总分：                      考核日期：  年   月   日</w:t>
      </w:r>
    </w:p>
    <w:tbl>
      <w:tblPr>
        <w:tblStyle w:val="5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67"/>
        <w:gridCol w:w="3883"/>
        <w:gridCol w:w="850"/>
        <w:gridCol w:w="2084"/>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167"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评比项目</w:t>
            </w:r>
          </w:p>
        </w:tc>
        <w:tc>
          <w:tcPr>
            <w:tcW w:w="3883"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评比标准</w:t>
            </w:r>
          </w:p>
        </w:tc>
        <w:tc>
          <w:tcPr>
            <w:tcW w:w="850"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标准分</w:t>
            </w:r>
          </w:p>
        </w:tc>
        <w:tc>
          <w:tcPr>
            <w:tcW w:w="2084"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评分依据</w:t>
            </w:r>
          </w:p>
        </w:tc>
        <w:tc>
          <w:tcPr>
            <w:tcW w:w="883"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50" w:type="dxa"/>
            <w:vAlign w:val="center"/>
          </w:tcPr>
          <w:p>
            <w:pPr>
              <w:spacing w:line="360" w:lineRule="auto"/>
              <w:ind w:firstLine="210" w:firstLineChars="10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67"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车辆管理</w:t>
            </w:r>
          </w:p>
        </w:tc>
        <w:tc>
          <w:tcPr>
            <w:tcW w:w="3883" w:type="dxa"/>
            <w:vAlign w:val="center"/>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对各种车辆管理有序，有专人指挥、疏导率100%，无堵塞交通现象，不影响行人及车辆正常通行，严禁车辆非特殊情况进入项目内非规定停车场地</w:t>
            </w:r>
          </w:p>
        </w:tc>
        <w:tc>
          <w:tcPr>
            <w:tcW w:w="850"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2084" w:type="dxa"/>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项目区域内存在交通拥堵或未在规定场地停放车辆现象，一次扣2分</w:t>
            </w:r>
          </w:p>
        </w:tc>
        <w:tc>
          <w:tcPr>
            <w:tcW w:w="883" w:type="dxa"/>
          </w:tcPr>
          <w:p>
            <w:pPr>
              <w:spacing w:line="360" w:lineRule="auto"/>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spacing w:line="360" w:lineRule="auto"/>
              <w:ind w:firstLine="210" w:firstLineChars="10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67"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治安管理</w:t>
            </w:r>
          </w:p>
        </w:tc>
        <w:tc>
          <w:tcPr>
            <w:tcW w:w="3883" w:type="dxa"/>
            <w:vAlign w:val="center"/>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维护项目区域内治安秩序，预防和查处安全事故，认真做好上岗执勤纪律，严格执行交接班制度，做好书面交接记录值班交接班工作，负责制定各类突发事件的处理程序，处理当班突发事件，如火灾、偷盗等立即报警</w:t>
            </w:r>
          </w:p>
        </w:tc>
        <w:tc>
          <w:tcPr>
            <w:tcW w:w="850"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2084" w:type="dxa"/>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因玩忽职守导致发生严重治安事件或消防事故扣30分</w:t>
            </w:r>
          </w:p>
        </w:tc>
        <w:tc>
          <w:tcPr>
            <w:tcW w:w="883" w:type="dxa"/>
          </w:tcPr>
          <w:p>
            <w:pPr>
              <w:spacing w:line="360" w:lineRule="auto"/>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67"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日检工作</w:t>
            </w:r>
          </w:p>
        </w:tc>
        <w:tc>
          <w:tcPr>
            <w:tcW w:w="3883" w:type="dxa"/>
            <w:vAlign w:val="center"/>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每天不间断对项目区域进行巡查，检查要全面细致，按照工作内容全面检查，对发现的问题要及时处理，处理不了的及时向安保负责人汇报，并做好记录</w:t>
            </w:r>
          </w:p>
        </w:tc>
        <w:tc>
          <w:tcPr>
            <w:tcW w:w="850"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c>
          <w:tcPr>
            <w:tcW w:w="2084" w:type="dxa"/>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一项未做到扣2分</w:t>
            </w:r>
          </w:p>
        </w:tc>
        <w:tc>
          <w:tcPr>
            <w:tcW w:w="883" w:type="dxa"/>
          </w:tcPr>
          <w:p>
            <w:pPr>
              <w:spacing w:line="360" w:lineRule="auto"/>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167"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劳动纪律</w:t>
            </w:r>
          </w:p>
        </w:tc>
        <w:tc>
          <w:tcPr>
            <w:tcW w:w="3883" w:type="dxa"/>
            <w:vAlign w:val="center"/>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上岗须仪表端正大方、美观、礼貌待客、遵守劳动纪律，无缺岗、窜岗。</w:t>
            </w:r>
          </w:p>
        </w:tc>
        <w:tc>
          <w:tcPr>
            <w:tcW w:w="850" w:type="dxa"/>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084" w:type="dxa"/>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迟到、早退每人次扣2分，缺岗、窜岗每人次扣5分，旷工每人次扣20分</w:t>
            </w:r>
          </w:p>
        </w:tc>
        <w:tc>
          <w:tcPr>
            <w:tcW w:w="883" w:type="dxa"/>
          </w:tcPr>
          <w:p>
            <w:pPr>
              <w:spacing w:line="360" w:lineRule="auto"/>
              <w:rPr>
                <w:rFonts w:asciiTheme="minorEastAsia" w:hAnsiTheme="minorEastAsia" w:eastAsiaTheme="minorEastAsia" w:cstheme="minorEastAsia"/>
                <w:color w:val="auto"/>
                <w:sz w:val="21"/>
                <w:szCs w:val="21"/>
                <w:highlight w:val="none"/>
              </w:rPr>
            </w:pPr>
          </w:p>
        </w:tc>
      </w:tr>
    </w:tbl>
    <w:p>
      <w:pPr>
        <w:spacing w:line="560" w:lineRule="exact"/>
        <w:jc w:val="center"/>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四、保洁工作月度考核评分表</w:t>
      </w:r>
    </w:p>
    <w:p>
      <w:pPr>
        <w:spacing w:line="5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                         总分：                        考核日期：  年   月   日</w:t>
      </w:r>
    </w:p>
    <w:tbl>
      <w:tblPr>
        <w:tblStyle w:val="53"/>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83"/>
        <w:gridCol w:w="3050"/>
        <w:gridCol w:w="1034"/>
        <w:gridCol w:w="270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183"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评比项目</w:t>
            </w:r>
          </w:p>
        </w:tc>
        <w:tc>
          <w:tcPr>
            <w:tcW w:w="3050"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评比标准</w:t>
            </w:r>
          </w:p>
        </w:tc>
        <w:tc>
          <w:tcPr>
            <w:tcW w:w="1034"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标准分</w:t>
            </w:r>
          </w:p>
        </w:tc>
        <w:tc>
          <w:tcPr>
            <w:tcW w:w="2700"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评分依据</w:t>
            </w:r>
          </w:p>
        </w:tc>
        <w:tc>
          <w:tcPr>
            <w:tcW w:w="916"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67" w:type="dxa"/>
            <w:vAlign w:val="center"/>
          </w:tcPr>
          <w:p>
            <w:pPr>
              <w:spacing w:line="360" w:lineRule="auto"/>
              <w:ind w:firstLine="210" w:firstLineChars="10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83" w:type="dxa"/>
            <w:vAlign w:val="center"/>
          </w:tcPr>
          <w:p>
            <w:pPr>
              <w:spacing w:line="360" w:lineRule="auto"/>
              <w:ind w:firstLine="105" w:firstLineChars="5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绿植类管理</w:t>
            </w:r>
          </w:p>
        </w:tc>
        <w:tc>
          <w:tcPr>
            <w:tcW w:w="3050" w:type="dxa"/>
            <w:vAlign w:val="center"/>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定期对项目区域内花草树木进行除草、浇水、松土、修剪等工作</w:t>
            </w:r>
          </w:p>
        </w:tc>
        <w:tc>
          <w:tcPr>
            <w:tcW w:w="1034"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2700" w:type="dxa"/>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未按要求进行除草、浇水、松土、修剪等，每次扣3分</w:t>
            </w:r>
          </w:p>
        </w:tc>
        <w:tc>
          <w:tcPr>
            <w:tcW w:w="916" w:type="dxa"/>
          </w:tcPr>
          <w:p>
            <w:pPr>
              <w:spacing w:line="360" w:lineRule="auto"/>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60" w:lineRule="auto"/>
              <w:ind w:firstLine="315" w:firstLineChars="15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83" w:type="dxa"/>
            <w:vAlign w:val="center"/>
          </w:tcPr>
          <w:p>
            <w:pPr>
              <w:spacing w:line="360" w:lineRule="auto"/>
              <w:ind w:firstLine="105" w:firstLineChars="5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特殊区域保洁工作</w:t>
            </w:r>
          </w:p>
        </w:tc>
        <w:tc>
          <w:tcPr>
            <w:tcW w:w="3050" w:type="dxa"/>
            <w:vAlign w:val="center"/>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确保公共场所的走廊、过道、楼梯，洗手间及墙面、灯饰、户外广告的清洁</w:t>
            </w:r>
          </w:p>
        </w:tc>
        <w:tc>
          <w:tcPr>
            <w:tcW w:w="1034"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2700" w:type="dxa"/>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有积尘、杂物、污渍、水渍一处扣1分；对违反规定经管理人员指正未及时清理的，一次扣3分</w:t>
            </w:r>
          </w:p>
        </w:tc>
        <w:tc>
          <w:tcPr>
            <w:tcW w:w="916" w:type="dxa"/>
          </w:tcPr>
          <w:p>
            <w:pPr>
              <w:spacing w:line="360" w:lineRule="auto"/>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667"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83" w:type="dxa"/>
            <w:vAlign w:val="center"/>
          </w:tcPr>
          <w:p>
            <w:pPr>
              <w:spacing w:line="360" w:lineRule="auto"/>
              <w:ind w:firstLine="105" w:firstLineChars="5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日常保洁工作</w:t>
            </w:r>
          </w:p>
        </w:tc>
        <w:tc>
          <w:tcPr>
            <w:tcW w:w="3050" w:type="dxa"/>
            <w:vAlign w:val="center"/>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及时清理各种杂物，随脏随扫，楼体外部无杂物堆放，保证区域干净整洁</w:t>
            </w:r>
          </w:p>
        </w:tc>
        <w:tc>
          <w:tcPr>
            <w:tcW w:w="1034"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2700" w:type="dxa"/>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道路、花坛、活动场所，不得有烟头、纸屑及任何垃圾，对发现后未及时处理的，一处扣2分</w:t>
            </w:r>
          </w:p>
        </w:tc>
        <w:tc>
          <w:tcPr>
            <w:tcW w:w="916" w:type="dxa"/>
          </w:tcPr>
          <w:p>
            <w:pPr>
              <w:spacing w:line="360" w:lineRule="auto"/>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183" w:type="dxa"/>
            <w:vAlign w:val="center"/>
          </w:tcPr>
          <w:p>
            <w:pPr>
              <w:spacing w:line="360" w:lineRule="auto"/>
              <w:ind w:firstLine="105" w:firstLineChars="5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劳动纪律</w:t>
            </w:r>
          </w:p>
        </w:tc>
        <w:tc>
          <w:tcPr>
            <w:tcW w:w="3050" w:type="dxa"/>
            <w:vAlign w:val="center"/>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上岗须仪表端正大方、美观、礼貌待客、遵守劳动纪律，无缺岗、窜岗。</w:t>
            </w:r>
          </w:p>
        </w:tc>
        <w:tc>
          <w:tcPr>
            <w:tcW w:w="1034" w:type="dxa"/>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700" w:type="dxa"/>
          </w:tcPr>
          <w:p>
            <w:pPr>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迟到、早退每人次扣2分，缺岗、窜岗每人次扣5分，旷工每人次扣20分</w:t>
            </w:r>
          </w:p>
        </w:tc>
        <w:tc>
          <w:tcPr>
            <w:tcW w:w="916" w:type="dxa"/>
          </w:tcPr>
          <w:p>
            <w:pPr>
              <w:spacing w:line="360" w:lineRule="auto"/>
              <w:rPr>
                <w:rFonts w:asciiTheme="minorEastAsia" w:hAnsiTheme="minorEastAsia" w:eastAsiaTheme="minorEastAsia" w:cstheme="minorEastAsia"/>
                <w:color w:val="auto"/>
                <w:sz w:val="21"/>
                <w:szCs w:val="21"/>
                <w:highlight w:val="none"/>
              </w:rPr>
            </w:pPr>
          </w:p>
        </w:tc>
      </w:tr>
    </w:tbl>
    <w:p>
      <w:pPr>
        <w:pStyle w:val="3"/>
        <w:keepNext/>
        <w:keepLines/>
        <w:pageBreakBefore/>
        <w:numPr>
          <w:ilvl w:val="0"/>
          <w:numId w:val="17"/>
        </w:numPr>
        <w:spacing w:line="360" w:lineRule="auto"/>
        <w:jc w:val="center"/>
        <w:rPr>
          <w:rFonts w:hAnsi="宋体"/>
          <w:b/>
          <w:bCs/>
          <w:color w:val="auto"/>
          <w:kern w:val="44"/>
          <w:sz w:val="28"/>
          <w:szCs w:val="28"/>
          <w:highlight w:val="none"/>
          <w:lang w:val="zh-CN"/>
        </w:rPr>
      </w:pPr>
      <w:r>
        <w:rPr>
          <w:rFonts w:hint="eastAsia" w:hAnsi="宋体"/>
          <w:b/>
          <w:bCs/>
          <w:color w:val="auto"/>
          <w:kern w:val="44"/>
          <w:sz w:val="28"/>
          <w:szCs w:val="28"/>
          <w:highlight w:val="none"/>
          <w:lang w:val="zh-CN"/>
        </w:rPr>
        <w:t>评标工作大纲</w:t>
      </w:r>
      <w:bookmarkEnd w:id="146"/>
    </w:p>
    <w:p>
      <w:pPr>
        <w:pStyle w:val="21"/>
        <w:spacing w:line="360" w:lineRule="auto"/>
        <w:ind w:firstLine="422" w:firstLineChars="200"/>
        <w:jc w:val="both"/>
        <w:rPr>
          <w:rFonts w:hAnsi="宋体"/>
          <w:color w:val="auto"/>
          <w:sz w:val="21"/>
          <w:szCs w:val="21"/>
          <w:highlight w:val="none"/>
        </w:rPr>
      </w:pPr>
      <w:r>
        <w:rPr>
          <w:rFonts w:hint="eastAsia" w:hAnsi="宋体"/>
          <w:color w:val="auto"/>
          <w:sz w:val="21"/>
          <w:szCs w:val="21"/>
          <w:highlight w:val="none"/>
        </w:rPr>
        <w:t>一、磋商小组对响应文件进行初审，初审包括资格性审查和符合性审查。</w:t>
      </w:r>
    </w:p>
    <w:tbl>
      <w:tblPr>
        <w:tblStyle w:val="5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5801"/>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Align w:val="center"/>
          </w:tcPr>
          <w:p>
            <w:pPr>
              <w:pStyle w:val="144"/>
              <w:spacing w:beforeLines="50" w:afterLines="50"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审查项目</w:t>
            </w:r>
          </w:p>
        </w:tc>
        <w:tc>
          <w:tcPr>
            <w:tcW w:w="5801" w:type="dxa"/>
            <w:vAlign w:val="center"/>
          </w:tcPr>
          <w:p>
            <w:pPr>
              <w:pStyle w:val="144"/>
              <w:spacing w:beforeLines="50" w:afterLines="50"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内容</w:t>
            </w:r>
          </w:p>
        </w:tc>
        <w:tc>
          <w:tcPr>
            <w:tcW w:w="1230" w:type="dxa"/>
          </w:tcPr>
          <w:p>
            <w:pPr>
              <w:pStyle w:val="144"/>
              <w:spacing w:beforeLines="50" w:afterLines="50" w:line="360" w:lineRule="auto"/>
              <w:ind w:firstLine="0" w:firstLineChars="0"/>
              <w:jc w:val="center"/>
              <w:rPr>
                <w:rFonts w:ascii="宋体" w:hAnsi="宋体"/>
                <w:b/>
                <w:bCs/>
                <w:color w:val="auto"/>
                <w:szCs w:val="21"/>
                <w:highlight w:val="none"/>
              </w:rPr>
            </w:pPr>
            <w:r>
              <w:rPr>
                <w:rFonts w:hint="eastAsia" w:ascii="宋体" w:hAnsi="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restart"/>
            <w:vAlign w:val="center"/>
          </w:tcPr>
          <w:p>
            <w:pPr>
              <w:pStyle w:val="144"/>
              <w:spacing w:line="360" w:lineRule="auto"/>
              <w:ind w:firstLine="0" w:firstLineChars="0"/>
              <w:jc w:val="center"/>
              <w:rPr>
                <w:rFonts w:ascii="宋体" w:hAnsi="宋体"/>
                <w:bCs/>
                <w:color w:val="auto"/>
                <w:szCs w:val="21"/>
                <w:highlight w:val="none"/>
              </w:rPr>
            </w:pPr>
            <w:r>
              <w:rPr>
                <w:rFonts w:hint="eastAsia" w:ascii="宋体" w:hAnsi="宋体"/>
                <w:bCs/>
                <w:color w:val="auto"/>
                <w:szCs w:val="21"/>
                <w:highlight w:val="none"/>
              </w:rPr>
              <w:t>资格性审查</w:t>
            </w:r>
          </w:p>
        </w:tc>
        <w:tc>
          <w:tcPr>
            <w:tcW w:w="5801"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资格瑕疵</w:t>
            </w:r>
          </w:p>
        </w:tc>
        <w:tc>
          <w:tcPr>
            <w:tcW w:w="1230" w:type="dxa"/>
          </w:tcPr>
          <w:p>
            <w:pPr>
              <w:pStyle w:val="144"/>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4"/>
              <w:spacing w:line="360" w:lineRule="auto"/>
              <w:ind w:firstLine="0" w:firstLineChars="0"/>
              <w:jc w:val="center"/>
              <w:rPr>
                <w:rFonts w:ascii="宋体" w:hAnsi="宋体"/>
                <w:bCs/>
                <w:color w:val="auto"/>
                <w:szCs w:val="21"/>
                <w:highlight w:val="none"/>
              </w:rPr>
            </w:pPr>
          </w:p>
        </w:tc>
        <w:tc>
          <w:tcPr>
            <w:tcW w:w="5801"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磋商保证金瑕疵</w:t>
            </w:r>
          </w:p>
        </w:tc>
        <w:tc>
          <w:tcPr>
            <w:tcW w:w="1230" w:type="dxa"/>
          </w:tcPr>
          <w:p>
            <w:pPr>
              <w:pStyle w:val="144"/>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restart"/>
            <w:vAlign w:val="center"/>
          </w:tcPr>
          <w:p>
            <w:pPr>
              <w:pStyle w:val="144"/>
              <w:spacing w:line="360" w:lineRule="auto"/>
              <w:ind w:firstLine="0" w:firstLineChars="0"/>
              <w:jc w:val="center"/>
              <w:rPr>
                <w:rFonts w:ascii="宋体" w:hAnsi="宋体"/>
                <w:bCs/>
                <w:color w:val="auto"/>
                <w:szCs w:val="21"/>
                <w:highlight w:val="none"/>
              </w:rPr>
            </w:pPr>
            <w:r>
              <w:rPr>
                <w:rFonts w:hint="eastAsia" w:ascii="宋体" w:hAnsi="宋体"/>
                <w:bCs/>
                <w:color w:val="auto"/>
                <w:szCs w:val="21"/>
                <w:highlight w:val="none"/>
              </w:rPr>
              <w:t>符合性审查</w:t>
            </w:r>
          </w:p>
        </w:tc>
        <w:tc>
          <w:tcPr>
            <w:tcW w:w="5801"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供应商代表身份审查</w:t>
            </w:r>
          </w:p>
        </w:tc>
        <w:tc>
          <w:tcPr>
            <w:tcW w:w="1230" w:type="dxa"/>
          </w:tcPr>
          <w:p>
            <w:pPr>
              <w:pStyle w:val="144"/>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4"/>
              <w:spacing w:line="360" w:lineRule="auto"/>
              <w:ind w:firstLine="0" w:firstLineChars="0"/>
              <w:jc w:val="center"/>
              <w:rPr>
                <w:rFonts w:ascii="宋体" w:hAnsi="宋体"/>
                <w:bCs/>
                <w:color w:val="auto"/>
                <w:szCs w:val="21"/>
                <w:highlight w:val="none"/>
              </w:rPr>
            </w:pPr>
          </w:p>
        </w:tc>
        <w:tc>
          <w:tcPr>
            <w:tcW w:w="5801"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磋商响应文件的有效性、完整性瑕疵</w:t>
            </w:r>
          </w:p>
        </w:tc>
        <w:tc>
          <w:tcPr>
            <w:tcW w:w="1230" w:type="dxa"/>
          </w:tcPr>
          <w:p>
            <w:pPr>
              <w:pStyle w:val="144"/>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4"/>
              <w:spacing w:line="360" w:lineRule="auto"/>
              <w:ind w:firstLine="0" w:firstLineChars="0"/>
              <w:jc w:val="center"/>
              <w:rPr>
                <w:rFonts w:ascii="宋体" w:hAnsi="宋体"/>
                <w:bCs/>
                <w:color w:val="auto"/>
                <w:szCs w:val="21"/>
                <w:highlight w:val="none"/>
              </w:rPr>
            </w:pPr>
          </w:p>
        </w:tc>
        <w:tc>
          <w:tcPr>
            <w:tcW w:w="5801"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技术响应瑕疵</w:t>
            </w:r>
          </w:p>
        </w:tc>
        <w:tc>
          <w:tcPr>
            <w:tcW w:w="1230" w:type="dxa"/>
          </w:tcPr>
          <w:p>
            <w:pPr>
              <w:pStyle w:val="144"/>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4"/>
              <w:spacing w:line="360" w:lineRule="auto"/>
              <w:ind w:firstLine="0" w:firstLineChars="0"/>
              <w:jc w:val="center"/>
              <w:rPr>
                <w:rFonts w:ascii="宋体" w:hAnsi="宋体"/>
                <w:bCs/>
                <w:color w:val="auto"/>
                <w:szCs w:val="21"/>
                <w:highlight w:val="none"/>
              </w:rPr>
            </w:pPr>
          </w:p>
        </w:tc>
        <w:tc>
          <w:tcPr>
            <w:tcW w:w="5801"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商务响应瑕疵</w:t>
            </w:r>
          </w:p>
        </w:tc>
        <w:tc>
          <w:tcPr>
            <w:tcW w:w="1230" w:type="dxa"/>
          </w:tcPr>
          <w:p>
            <w:pPr>
              <w:pStyle w:val="144"/>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4"/>
              <w:spacing w:line="360" w:lineRule="auto"/>
              <w:ind w:firstLine="0" w:firstLineChars="0"/>
              <w:jc w:val="center"/>
              <w:rPr>
                <w:rFonts w:ascii="宋体" w:hAnsi="宋体"/>
                <w:bCs/>
                <w:color w:val="auto"/>
                <w:szCs w:val="21"/>
                <w:highlight w:val="none"/>
              </w:rPr>
            </w:pPr>
          </w:p>
        </w:tc>
        <w:tc>
          <w:tcPr>
            <w:tcW w:w="5801"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报价</w:t>
            </w:r>
          </w:p>
        </w:tc>
        <w:tc>
          <w:tcPr>
            <w:tcW w:w="1230" w:type="dxa"/>
          </w:tcPr>
          <w:p>
            <w:pPr>
              <w:pStyle w:val="144"/>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4"/>
              <w:spacing w:line="360" w:lineRule="auto"/>
              <w:ind w:firstLine="0" w:firstLineChars="0"/>
              <w:jc w:val="center"/>
              <w:rPr>
                <w:rFonts w:ascii="宋体" w:hAnsi="宋体"/>
                <w:bCs/>
                <w:color w:val="auto"/>
                <w:szCs w:val="21"/>
                <w:highlight w:val="none"/>
              </w:rPr>
            </w:pPr>
          </w:p>
        </w:tc>
        <w:tc>
          <w:tcPr>
            <w:tcW w:w="5801"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违规行为</w:t>
            </w:r>
          </w:p>
        </w:tc>
        <w:tc>
          <w:tcPr>
            <w:tcW w:w="1230" w:type="dxa"/>
          </w:tcPr>
          <w:p>
            <w:pPr>
              <w:pStyle w:val="144"/>
              <w:spacing w:line="360" w:lineRule="auto"/>
              <w:ind w:firstLine="0" w:firstLineChars="0"/>
              <w:jc w:val="lef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4" w:type="dxa"/>
            <w:vMerge w:val="continue"/>
            <w:vAlign w:val="center"/>
          </w:tcPr>
          <w:p>
            <w:pPr>
              <w:pStyle w:val="144"/>
              <w:spacing w:line="360" w:lineRule="auto"/>
              <w:ind w:firstLine="0" w:firstLineChars="0"/>
              <w:jc w:val="center"/>
              <w:rPr>
                <w:rFonts w:ascii="宋体" w:hAnsi="宋体"/>
                <w:bCs/>
                <w:color w:val="auto"/>
                <w:szCs w:val="21"/>
                <w:highlight w:val="none"/>
              </w:rPr>
            </w:pPr>
          </w:p>
        </w:tc>
        <w:tc>
          <w:tcPr>
            <w:tcW w:w="5801" w:type="dxa"/>
            <w:vAlign w:val="center"/>
          </w:tcPr>
          <w:p>
            <w:pPr>
              <w:spacing w:line="360" w:lineRule="auto"/>
              <w:rPr>
                <w:rFonts w:hAnsi="宋体"/>
                <w:color w:val="auto"/>
                <w:sz w:val="21"/>
                <w:szCs w:val="21"/>
                <w:highlight w:val="none"/>
              </w:rPr>
            </w:pPr>
            <w:r>
              <w:rPr>
                <w:rFonts w:hint="eastAsia" w:hAnsi="宋体"/>
                <w:color w:val="auto"/>
                <w:sz w:val="21"/>
                <w:szCs w:val="21"/>
                <w:highlight w:val="none"/>
              </w:rPr>
              <w:t>法律法规及磋商文件中规定的其它情形。</w:t>
            </w:r>
          </w:p>
        </w:tc>
        <w:tc>
          <w:tcPr>
            <w:tcW w:w="1230" w:type="dxa"/>
          </w:tcPr>
          <w:p>
            <w:pPr>
              <w:pStyle w:val="144"/>
              <w:spacing w:line="360" w:lineRule="auto"/>
              <w:ind w:firstLine="0" w:firstLineChars="0"/>
              <w:jc w:val="left"/>
              <w:rPr>
                <w:rFonts w:ascii="宋体" w:hAnsi="宋体"/>
                <w:bCs/>
                <w:color w:val="auto"/>
                <w:szCs w:val="21"/>
                <w:highlight w:val="none"/>
              </w:rPr>
            </w:pPr>
          </w:p>
        </w:tc>
      </w:tr>
    </w:tbl>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（一）资格性检查</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1) 资格瑕疵</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包括但不限于：①资格证明文件未提供或不符合磋商文件要求的；②供应商与采购人、采购代理机构有利害关系的。</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2) 磋商保证金瑕疵</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包括但不限于：①供应商未提交磋商文件保证金或金额不足；②提交方式、提交时间不符合采购要求；③磋商文件保证金有效期不符合采购要求的。</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（二）符合性检查</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1) 供应商代表身份审查</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包括但不限于：①供应商代表未参加开标会；②供应商代表无有效授权；③核对供应商代表身份时，不能提供相应的身份证明或不相符。</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2) 响应文件的有效性、完整性瑕疵</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①响应文件的数量、制作、密封、标记不符合要求；②响应文件无法定代表人或其授权代表签字，或签字人无法定代表人有效授权的；③签字盖章不符合磋商文件要求的；④响应文件内容有严重缺漏项的；⑤报价有严重缺漏项的；⑥响应文件的关键内容字迹模糊、无法辨认的。</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3) 技术响应瑕疵</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磋商的；④供应商复制磋商文件的技术规格相关部分内容作为其响应文件的一部分的；⑤《技术规格偏离表》填写不明或不实的；⑥将一个包中的内容拆开磋商的；⑦供应商对同一货物或服务磋商时，同时提供两套或两套以上的磋商方案的；⑧明显不符合技术规格、技术标准要求的；⑨其他未实质性响应磋商文件技术要求的。</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4) 商务响应瑕疵</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①磋商文件加注星号（★）的商务要求负偏离的；②项目完成期未满足磋商文件要求的；③报价超出采购预算的。④《商务条款偏离表》填写不明或不实的；⑤；⑥供应商低于成本报价竞标的；⑦响应文件附有采购人不能接受的条件的；⑧其他未实质性响应磋商文件商务要求的。</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5）报价</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包括但不限于：报价不得超过本磋商文件明确的项目预算。</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6）违规行为</w:t>
      </w:r>
    </w:p>
    <w:p>
      <w:pPr>
        <w:pStyle w:val="21"/>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包括但不限于：①以他人的名义磋商、串通磋商、以行贿手段谋取成交或者以其他弄虚作假方式参与磋商的；②拒不按照要求对响应文件进行澄清、说明或者补正的；③扰乱开标、评标秩序，干扰磋商工作正常进行的。</w:t>
      </w:r>
    </w:p>
    <w:p>
      <w:pPr>
        <w:pStyle w:val="21"/>
        <w:numPr>
          <w:ilvl w:val="0"/>
          <w:numId w:val="18"/>
        </w:numPr>
        <w:spacing w:line="360" w:lineRule="auto"/>
        <w:ind w:firstLine="420" w:firstLineChars="200"/>
        <w:jc w:val="left"/>
        <w:rPr>
          <w:rFonts w:hAnsi="宋体"/>
          <w:b w:val="0"/>
          <w:bCs w:val="0"/>
          <w:color w:val="auto"/>
          <w:sz w:val="21"/>
          <w:szCs w:val="21"/>
          <w:highlight w:val="none"/>
        </w:rPr>
      </w:pPr>
      <w:r>
        <w:rPr>
          <w:rFonts w:hint="eastAsia" w:hAnsi="宋体"/>
          <w:b w:val="0"/>
          <w:bCs w:val="0"/>
          <w:color w:val="auto"/>
          <w:sz w:val="21"/>
          <w:szCs w:val="21"/>
          <w:highlight w:val="none"/>
        </w:rPr>
        <w:t>法律法规及磋商文件中规定的其它情形。</w:t>
      </w:r>
    </w:p>
    <w:p>
      <w:pPr>
        <w:pStyle w:val="21"/>
        <w:spacing w:line="360" w:lineRule="auto"/>
        <w:jc w:val="left"/>
        <w:rPr>
          <w:rFonts w:hAnsi="宋体"/>
          <w:b w:val="0"/>
          <w:bCs w:val="0"/>
          <w:color w:val="auto"/>
          <w:sz w:val="21"/>
          <w:szCs w:val="21"/>
          <w:highlight w:val="none"/>
        </w:rPr>
      </w:pPr>
    </w:p>
    <w:p>
      <w:pPr>
        <w:pStyle w:val="21"/>
        <w:numPr>
          <w:ilvl w:val="0"/>
          <w:numId w:val="11"/>
        </w:numPr>
        <w:spacing w:line="360" w:lineRule="auto"/>
        <w:ind w:firstLine="422" w:firstLineChars="200"/>
        <w:jc w:val="left"/>
        <w:rPr>
          <w:rFonts w:hAnsi="宋体"/>
          <w:color w:val="auto"/>
          <w:sz w:val="21"/>
          <w:szCs w:val="21"/>
          <w:highlight w:val="none"/>
        </w:rPr>
      </w:pPr>
      <w:r>
        <w:rPr>
          <w:rFonts w:hint="eastAsia" w:hAnsi="宋体"/>
          <w:color w:val="auto"/>
          <w:sz w:val="21"/>
          <w:szCs w:val="21"/>
          <w:highlight w:val="none"/>
        </w:rPr>
        <w:t>经过磋商阶段后，磋商小组按照磋商文件确定的评审标准和方法对提交最后报价的供应商的响应文件进行评审和比较，推荐候选成交供应商，制订评审报告。</w:t>
      </w:r>
    </w:p>
    <w:p>
      <w:pPr>
        <w:pStyle w:val="21"/>
        <w:spacing w:line="360" w:lineRule="auto"/>
        <w:ind w:left="480" w:leftChars="200"/>
        <w:jc w:val="left"/>
        <w:rPr>
          <w:rFonts w:hAnsi="宋体"/>
          <w:color w:val="auto"/>
          <w:sz w:val="21"/>
          <w:szCs w:val="21"/>
          <w:highlight w:val="none"/>
        </w:rPr>
      </w:pPr>
    </w:p>
    <w:p>
      <w:pPr>
        <w:pStyle w:val="28"/>
        <w:spacing w:line="360" w:lineRule="auto"/>
        <w:ind w:firstLine="422" w:firstLineChars="200"/>
        <w:rPr>
          <w:rFonts w:hAnsi="宋体"/>
          <w:b/>
          <w:bCs/>
          <w:color w:val="auto"/>
          <w:szCs w:val="21"/>
          <w:highlight w:val="none"/>
        </w:rPr>
      </w:pPr>
      <w:r>
        <w:rPr>
          <w:rFonts w:hint="eastAsia" w:hAnsi="宋体"/>
          <w:b/>
          <w:bCs/>
          <w:color w:val="auto"/>
          <w:szCs w:val="21"/>
          <w:highlight w:val="none"/>
        </w:rPr>
        <w:t>三、评审因素及评分权重</w:t>
      </w:r>
    </w:p>
    <w:p>
      <w:pPr>
        <w:tabs>
          <w:tab w:val="left" w:pos="660"/>
        </w:tabs>
        <w:autoSpaceDE/>
        <w:autoSpaceDN/>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1、评委考核打分的评分因素及分值:总分100分</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3579"/>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7" w:type="dxa"/>
            <w:noWrap/>
            <w:vAlign w:val="center"/>
          </w:tcPr>
          <w:p>
            <w:pPr>
              <w:jc w:val="center"/>
              <w:rPr>
                <w:rFonts w:hAnsi="宋体"/>
                <w:color w:val="auto"/>
                <w:sz w:val="21"/>
                <w:szCs w:val="21"/>
                <w:highlight w:val="none"/>
              </w:rPr>
            </w:pPr>
            <w:r>
              <w:rPr>
                <w:rFonts w:hint="eastAsia" w:hAnsi="宋体"/>
                <w:color w:val="auto"/>
                <w:sz w:val="21"/>
                <w:szCs w:val="21"/>
                <w:highlight w:val="none"/>
              </w:rPr>
              <w:t>序号</w:t>
            </w:r>
          </w:p>
        </w:tc>
        <w:tc>
          <w:tcPr>
            <w:tcW w:w="3579" w:type="dxa"/>
            <w:noWrap/>
            <w:vAlign w:val="center"/>
          </w:tcPr>
          <w:p>
            <w:pPr>
              <w:jc w:val="center"/>
              <w:rPr>
                <w:rFonts w:hAnsi="宋体"/>
                <w:color w:val="auto"/>
                <w:sz w:val="21"/>
                <w:szCs w:val="21"/>
                <w:highlight w:val="none"/>
              </w:rPr>
            </w:pPr>
            <w:r>
              <w:rPr>
                <w:rFonts w:hint="eastAsia" w:hAnsi="宋体"/>
                <w:color w:val="auto"/>
                <w:sz w:val="21"/>
                <w:szCs w:val="21"/>
                <w:highlight w:val="none"/>
              </w:rPr>
              <w:t>评分因素</w:t>
            </w:r>
          </w:p>
        </w:tc>
        <w:tc>
          <w:tcPr>
            <w:tcW w:w="4244" w:type="dxa"/>
            <w:noWrap/>
            <w:vAlign w:val="center"/>
          </w:tcPr>
          <w:p>
            <w:pPr>
              <w:jc w:val="center"/>
              <w:rPr>
                <w:rFonts w:hAnsi="宋体"/>
                <w:color w:val="auto"/>
                <w:sz w:val="21"/>
                <w:szCs w:val="21"/>
                <w:highlight w:val="none"/>
              </w:rPr>
            </w:pPr>
            <w:r>
              <w:rPr>
                <w:rFonts w:hint="eastAsia" w:hAnsi="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7" w:type="dxa"/>
            <w:noWrap/>
            <w:vAlign w:val="center"/>
          </w:tcPr>
          <w:p>
            <w:pPr>
              <w:jc w:val="center"/>
              <w:rPr>
                <w:rFonts w:hAnsi="宋体"/>
                <w:color w:val="auto"/>
                <w:sz w:val="21"/>
                <w:szCs w:val="21"/>
                <w:highlight w:val="none"/>
              </w:rPr>
            </w:pPr>
            <w:r>
              <w:rPr>
                <w:rFonts w:hint="eastAsia" w:hAnsi="宋体"/>
                <w:color w:val="auto"/>
                <w:sz w:val="21"/>
                <w:szCs w:val="21"/>
                <w:highlight w:val="none"/>
              </w:rPr>
              <w:t>1</w:t>
            </w:r>
          </w:p>
        </w:tc>
        <w:tc>
          <w:tcPr>
            <w:tcW w:w="3579" w:type="dxa"/>
            <w:noWrap/>
            <w:vAlign w:val="center"/>
          </w:tcPr>
          <w:p>
            <w:pPr>
              <w:jc w:val="center"/>
              <w:rPr>
                <w:rFonts w:hAnsi="宋体"/>
                <w:color w:val="auto"/>
                <w:sz w:val="21"/>
                <w:szCs w:val="21"/>
                <w:highlight w:val="none"/>
              </w:rPr>
            </w:pPr>
            <w:r>
              <w:rPr>
                <w:rFonts w:hint="eastAsia" w:hAnsi="宋体"/>
                <w:color w:val="auto"/>
                <w:sz w:val="21"/>
                <w:szCs w:val="21"/>
                <w:highlight w:val="none"/>
              </w:rPr>
              <w:t>价格</w:t>
            </w:r>
          </w:p>
        </w:tc>
        <w:tc>
          <w:tcPr>
            <w:tcW w:w="4244" w:type="dxa"/>
            <w:noWrap/>
            <w:vAlign w:val="center"/>
          </w:tcPr>
          <w:p>
            <w:pPr>
              <w:jc w:val="center"/>
              <w:rPr>
                <w:rFonts w:hAnsi="宋体"/>
                <w:color w:val="auto"/>
                <w:sz w:val="21"/>
                <w:szCs w:val="21"/>
                <w:highlight w:val="none"/>
              </w:rPr>
            </w:pPr>
            <w:r>
              <w:rPr>
                <w:rFonts w:hint="eastAsia" w:hAnsi="宋体"/>
                <w:color w:val="auto"/>
                <w:sz w:val="21"/>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7" w:type="dxa"/>
            <w:noWrap/>
            <w:vAlign w:val="center"/>
          </w:tcPr>
          <w:p>
            <w:pPr>
              <w:jc w:val="center"/>
              <w:rPr>
                <w:rFonts w:hAnsi="宋体"/>
                <w:color w:val="auto"/>
                <w:sz w:val="21"/>
                <w:szCs w:val="21"/>
                <w:highlight w:val="none"/>
              </w:rPr>
            </w:pPr>
            <w:r>
              <w:rPr>
                <w:rFonts w:hint="eastAsia" w:hAnsi="宋体"/>
                <w:color w:val="auto"/>
                <w:sz w:val="21"/>
                <w:szCs w:val="21"/>
                <w:highlight w:val="none"/>
              </w:rPr>
              <w:t>2</w:t>
            </w:r>
          </w:p>
        </w:tc>
        <w:tc>
          <w:tcPr>
            <w:tcW w:w="3579" w:type="dxa"/>
            <w:noWrap/>
            <w:vAlign w:val="center"/>
          </w:tcPr>
          <w:p>
            <w:pPr>
              <w:jc w:val="center"/>
              <w:rPr>
                <w:rFonts w:hAnsi="宋体"/>
                <w:color w:val="auto"/>
                <w:sz w:val="21"/>
                <w:szCs w:val="21"/>
                <w:highlight w:val="none"/>
              </w:rPr>
            </w:pPr>
            <w:r>
              <w:rPr>
                <w:rFonts w:hint="eastAsia" w:hAnsi="宋体"/>
                <w:color w:val="auto"/>
                <w:sz w:val="21"/>
                <w:szCs w:val="21"/>
                <w:highlight w:val="none"/>
              </w:rPr>
              <w:t>商务</w:t>
            </w:r>
          </w:p>
        </w:tc>
        <w:tc>
          <w:tcPr>
            <w:tcW w:w="4244" w:type="dxa"/>
            <w:noWrap/>
            <w:vAlign w:val="center"/>
          </w:tcPr>
          <w:p>
            <w:pPr>
              <w:jc w:val="center"/>
              <w:rPr>
                <w:rFonts w:hAnsi="宋体"/>
                <w:color w:val="auto"/>
                <w:sz w:val="21"/>
                <w:szCs w:val="21"/>
                <w:highlight w:val="none"/>
              </w:rPr>
            </w:pPr>
            <w:r>
              <w:rPr>
                <w:rFonts w:hint="eastAsia" w:hAnsi="宋体"/>
                <w:color w:val="auto"/>
                <w:sz w:val="21"/>
                <w:szCs w:val="21"/>
                <w:highlight w:val="none"/>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7" w:type="dxa"/>
            <w:noWrap/>
            <w:vAlign w:val="center"/>
          </w:tcPr>
          <w:p>
            <w:pPr>
              <w:jc w:val="center"/>
              <w:rPr>
                <w:rFonts w:hAnsi="宋体"/>
                <w:color w:val="auto"/>
                <w:sz w:val="21"/>
                <w:szCs w:val="21"/>
                <w:highlight w:val="none"/>
              </w:rPr>
            </w:pPr>
            <w:r>
              <w:rPr>
                <w:rFonts w:hint="eastAsia" w:hAnsi="宋体"/>
                <w:color w:val="auto"/>
                <w:sz w:val="21"/>
                <w:szCs w:val="21"/>
                <w:highlight w:val="none"/>
              </w:rPr>
              <w:t>3</w:t>
            </w:r>
          </w:p>
        </w:tc>
        <w:tc>
          <w:tcPr>
            <w:tcW w:w="3579" w:type="dxa"/>
            <w:noWrap/>
            <w:vAlign w:val="center"/>
          </w:tcPr>
          <w:p>
            <w:pPr>
              <w:jc w:val="center"/>
              <w:rPr>
                <w:rFonts w:hAnsi="宋体"/>
                <w:color w:val="auto"/>
                <w:sz w:val="21"/>
                <w:szCs w:val="21"/>
                <w:highlight w:val="none"/>
              </w:rPr>
            </w:pPr>
            <w:r>
              <w:rPr>
                <w:rFonts w:hint="eastAsia" w:hAnsi="宋体"/>
                <w:color w:val="auto"/>
                <w:sz w:val="21"/>
                <w:szCs w:val="21"/>
                <w:highlight w:val="none"/>
              </w:rPr>
              <w:t>技术</w:t>
            </w:r>
          </w:p>
        </w:tc>
        <w:tc>
          <w:tcPr>
            <w:tcW w:w="4244" w:type="dxa"/>
            <w:noWrap/>
            <w:vAlign w:val="center"/>
          </w:tcPr>
          <w:p>
            <w:pPr>
              <w:jc w:val="center"/>
              <w:rPr>
                <w:rFonts w:hAnsi="宋体"/>
                <w:color w:val="auto"/>
                <w:sz w:val="21"/>
                <w:szCs w:val="21"/>
                <w:highlight w:val="none"/>
              </w:rPr>
            </w:pPr>
            <w:r>
              <w:rPr>
                <w:rFonts w:hint="eastAsia" w:hAnsi="宋体"/>
                <w:color w:val="auto"/>
                <w:sz w:val="21"/>
                <w:szCs w:val="21"/>
                <w:highlight w:val="none"/>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716" w:type="dxa"/>
            <w:gridSpan w:val="2"/>
            <w:noWrap/>
            <w:vAlign w:val="center"/>
          </w:tcPr>
          <w:p>
            <w:pPr>
              <w:jc w:val="center"/>
              <w:rPr>
                <w:rFonts w:hAnsi="宋体"/>
                <w:color w:val="auto"/>
                <w:sz w:val="21"/>
                <w:szCs w:val="21"/>
                <w:highlight w:val="none"/>
              </w:rPr>
            </w:pPr>
            <w:r>
              <w:rPr>
                <w:rFonts w:hint="eastAsia" w:hAnsi="宋体"/>
                <w:color w:val="auto"/>
                <w:sz w:val="21"/>
                <w:szCs w:val="21"/>
                <w:highlight w:val="none"/>
              </w:rPr>
              <w:t>总  分</w:t>
            </w:r>
          </w:p>
        </w:tc>
        <w:tc>
          <w:tcPr>
            <w:tcW w:w="4244" w:type="dxa"/>
            <w:noWrap/>
            <w:vAlign w:val="center"/>
          </w:tcPr>
          <w:p>
            <w:pPr>
              <w:jc w:val="center"/>
              <w:rPr>
                <w:rFonts w:hAnsi="宋体"/>
                <w:color w:val="auto"/>
                <w:sz w:val="21"/>
                <w:szCs w:val="21"/>
                <w:highlight w:val="none"/>
              </w:rPr>
            </w:pPr>
            <w:r>
              <w:rPr>
                <w:rFonts w:hint="eastAsia" w:hAnsi="宋体"/>
                <w:color w:val="auto"/>
                <w:sz w:val="21"/>
                <w:szCs w:val="21"/>
                <w:highlight w:val="none"/>
              </w:rPr>
              <w:t>100分</w:t>
            </w:r>
          </w:p>
        </w:tc>
      </w:tr>
    </w:tbl>
    <w:p>
      <w:pPr>
        <w:numPr>
          <w:ilvl w:val="0"/>
          <w:numId w:val="19"/>
        </w:numPr>
        <w:tabs>
          <w:tab w:val="left" w:pos="660"/>
        </w:tabs>
        <w:autoSpaceDE/>
        <w:autoSpaceDN/>
        <w:adjustRightInd/>
        <w:spacing w:line="360" w:lineRule="auto"/>
        <w:ind w:firstLine="420" w:firstLineChars="200"/>
        <w:jc w:val="both"/>
        <w:rPr>
          <w:rFonts w:hAnsi="宋体"/>
          <w:color w:val="auto"/>
          <w:sz w:val="21"/>
          <w:szCs w:val="21"/>
          <w:highlight w:val="none"/>
        </w:rPr>
      </w:pPr>
      <w:r>
        <w:rPr>
          <w:rFonts w:hint="eastAsia" w:hAnsi="宋体"/>
          <w:color w:val="auto"/>
          <w:sz w:val="21"/>
          <w:szCs w:val="21"/>
          <w:highlight w:val="none"/>
        </w:rPr>
        <w:t>评分因素分值的具体分配：</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8"/>
        <w:gridCol w:w="1592"/>
        <w:gridCol w:w="863"/>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序号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评分内容</w:t>
            </w:r>
          </w:p>
        </w:tc>
        <w:tc>
          <w:tcPr>
            <w:tcW w:w="86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分值</w:t>
            </w:r>
          </w:p>
        </w:tc>
        <w:tc>
          <w:tcPr>
            <w:tcW w:w="572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31" w:type="dxa"/>
            <w:gridSpan w:val="5"/>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b/>
                <w:color w:val="auto"/>
                <w:sz w:val="21"/>
                <w:szCs w:val="21"/>
                <w:highlight w:val="none"/>
              </w:rPr>
            </w:pPr>
            <w:r>
              <w:rPr>
                <w:rFonts w:hint="eastAsia" w:ascii="宋体" w:eastAsia="宋体"/>
                <w:b/>
                <w:color w:val="auto"/>
                <w:kern w:val="0"/>
                <w:sz w:val="21"/>
                <w:szCs w:val="21"/>
                <w:highlight w:val="none"/>
              </w:rPr>
              <w:t>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gridSpan w:val="2"/>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color w:val="auto"/>
                <w:sz w:val="21"/>
                <w:szCs w:val="21"/>
                <w:highlight w:val="none"/>
              </w:rPr>
            </w:pPr>
            <w:r>
              <w:rPr>
                <w:rFonts w:hint="eastAsia" w:ascii="宋体" w:eastAsia="宋体"/>
                <w:color w:val="auto"/>
                <w:kern w:val="0"/>
                <w:sz w:val="21"/>
                <w:szCs w:val="21"/>
                <w:highlight w:val="none"/>
              </w:rPr>
              <w:t>1</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360" w:lineRule="auto"/>
              <w:jc w:val="center"/>
              <w:rPr>
                <w:color w:val="auto"/>
                <w:sz w:val="21"/>
                <w:szCs w:val="21"/>
                <w:highlight w:val="none"/>
              </w:rPr>
            </w:pPr>
            <w:r>
              <w:rPr>
                <w:rFonts w:hint="eastAsia" w:hAnsi="宋体"/>
                <w:color w:val="auto"/>
                <w:sz w:val="21"/>
                <w:szCs w:val="21"/>
                <w:highlight w:val="none"/>
              </w:rPr>
              <w:t>价格部分</w:t>
            </w:r>
          </w:p>
        </w:tc>
        <w:tc>
          <w:tcPr>
            <w:tcW w:w="863"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360" w:lineRule="auto"/>
              <w:jc w:val="center"/>
              <w:rPr>
                <w:color w:val="auto"/>
                <w:sz w:val="21"/>
                <w:szCs w:val="21"/>
                <w:highlight w:val="none"/>
              </w:rPr>
            </w:pPr>
            <w:r>
              <w:rPr>
                <w:rFonts w:hint="eastAsia" w:hAnsi="宋体"/>
                <w:color w:val="auto"/>
                <w:sz w:val="21"/>
                <w:szCs w:val="21"/>
                <w:highlight w:val="none"/>
              </w:rPr>
              <w:t>30</w:t>
            </w:r>
          </w:p>
        </w:tc>
        <w:tc>
          <w:tcPr>
            <w:tcW w:w="5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1"/>
                <w:szCs w:val="21"/>
                <w:highlight w:val="none"/>
              </w:rPr>
            </w:pPr>
            <w:r>
              <w:rPr>
                <w:rFonts w:hint="eastAsia" w:hAnsi="宋体"/>
                <w:color w:val="auto"/>
                <w:sz w:val="21"/>
                <w:szCs w:val="21"/>
                <w:highlight w:val="none"/>
              </w:rPr>
              <w:t>价格分计算方法：满足招标文件要求且投标价格最低的投标报价为评标基准价，其价格分为满分。其他供应商的价格分统一按照下列公式计算：投标报价得分=(评标基准价／投标报价)×价格权重（30%）×100。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olor w:val="auto"/>
                <w:sz w:val="21"/>
                <w:szCs w:val="21"/>
                <w:highlight w:val="none"/>
              </w:rPr>
            </w:pPr>
            <w:r>
              <w:rPr>
                <w:rFonts w:hint="eastAsia"/>
                <w:b/>
                <w:color w:val="auto"/>
                <w:sz w:val="21"/>
                <w:szCs w:val="21"/>
                <w:highlight w:val="none"/>
              </w:rPr>
              <w:t>商务评分（35分）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1</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jc w:val="center"/>
              <w:rPr>
                <w:rFonts w:hAnsi="宋体"/>
                <w:color w:val="auto"/>
                <w:sz w:val="21"/>
                <w:szCs w:val="21"/>
                <w:highlight w:val="none"/>
              </w:rPr>
            </w:pPr>
            <w:r>
              <w:rPr>
                <w:rFonts w:hint="eastAsia" w:hAnsi="宋体" w:cs="宋体"/>
                <w:b w:val="0"/>
                <w:bCs w:val="0"/>
                <w:color w:val="auto"/>
                <w:sz w:val="21"/>
                <w:szCs w:val="21"/>
                <w:highlight w:val="none"/>
                <w:u w:val="none"/>
                <w:lang w:eastAsia="zh-CN"/>
              </w:rPr>
              <w:t>财务状况</w:t>
            </w:r>
          </w:p>
        </w:tc>
        <w:tc>
          <w:tcPr>
            <w:tcW w:w="863" w:type="dxa"/>
            <w:tcBorders>
              <w:top w:val="single" w:color="auto" w:sz="4" w:space="0"/>
              <w:left w:val="single" w:color="auto" w:sz="4" w:space="0"/>
              <w:bottom w:val="single" w:color="auto" w:sz="4" w:space="0"/>
              <w:right w:val="single" w:color="auto" w:sz="4" w:space="0"/>
            </w:tcBorders>
            <w:vAlign w:val="center"/>
          </w:tcPr>
          <w:p>
            <w:pPr>
              <w:pStyle w:val="75"/>
              <w:keepNext w:val="0"/>
              <w:keepLines w:val="0"/>
              <w:pageBreakBefore w:val="0"/>
              <w:kinsoku/>
              <w:wordWrap/>
              <w:overflowPunct/>
              <w:topLinePunct w:val="0"/>
              <w:bidi w:val="0"/>
              <w:spacing w:line="240" w:lineRule="auto"/>
              <w:ind w:firstLine="0" w:firstLineChars="0"/>
              <w:jc w:val="center"/>
              <w:textAlignment w:val="auto"/>
              <w:rPr>
                <w:rFonts w:ascii="宋体" w:eastAsia="宋体"/>
                <w:color w:val="auto"/>
                <w:sz w:val="21"/>
                <w:szCs w:val="21"/>
                <w:highlight w:val="none"/>
              </w:rPr>
            </w:pPr>
            <w:r>
              <w:rPr>
                <w:rFonts w:hint="eastAsia" w:ascii="宋体" w:hAnsi="宋体" w:eastAsia="宋体" w:cs="宋体"/>
                <w:b w:val="0"/>
                <w:bCs w:val="0"/>
                <w:color w:val="auto"/>
                <w:sz w:val="21"/>
                <w:szCs w:val="21"/>
                <w:highlight w:val="none"/>
                <w:u w:val="none"/>
              </w:rPr>
              <w:t>3</w:t>
            </w:r>
          </w:p>
        </w:tc>
        <w:tc>
          <w:tcPr>
            <w:tcW w:w="572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根据投标人201</w:t>
            </w:r>
            <w:r>
              <w:rPr>
                <w:rFonts w:hint="eastAsia" w:hAnsi="宋体" w:cs="宋体"/>
                <w:b w:val="0"/>
                <w:bCs w:val="0"/>
                <w:color w:val="auto"/>
                <w:sz w:val="21"/>
                <w:szCs w:val="21"/>
                <w:highlight w:val="none"/>
                <w:u w:val="none"/>
                <w:lang w:val="en-US" w:eastAsia="zh-CN"/>
              </w:rPr>
              <w:t>7</w:t>
            </w:r>
            <w:r>
              <w:rPr>
                <w:rFonts w:hint="eastAsia" w:ascii="宋体" w:hAnsi="宋体" w:eastAsia="宋体" w:cs="宋体"/>
                <w:b w:val="0"/>
                <w:bCs w:val="0"/>
                <w:color w:val="auto"/>
                <w:sz w:val="21"/>
                <w:szCs w:val="21"/>
                <w:highlight w:val="none"/>
                <w:u w:val="none"/>
              </w:rPr>
              <w:t>年度、201</w:t>
            </w:r>
            <w:r>
              <w:rPr>
                <w:rFonts w:hint="eastAsia" w:hAnsi="宋体" w:cs="宋体"/>
                <w:b w:val="0"/>
                <w:bCs w:val="0"/>
                <w:color w:val="auto"/>
                <w:sz w:val="21"/>
                <w:szCs w:val="21"/>
                <w:highlight w:val="none"/>
                <w:u w:val="none"/>
                <w:lang w:val="en-US" w:eastAsia="zh-CN"/>
              </w:rPr>
              <w:t>8</w:t>
            </w:r>
            <w:r>
              <w:rPr>
                <w:rFonts w:hint="eastAsia" w:ascii="宋体" w:hAnsi="宋体" w:eastAsia="宋体" w:cs="宋体"/>
                <w:b w:val="0"/>
                <w:bCs w:val="0"/>
                <w:color w:val="auto"/>
                <w:sz w:val="21"/>
                <w:szCs w:val="21"/>
                <w:highlight w:val="none"/>
                <w:u w:val="none"/>
              </w:rPr>
              <w:t>年度、201</w:t>
            </w:r>
            <w:r>
              <w:rPr>
                <w:rFonts w:hint="eastAsia" w:hAnsi="宋体" w:cs="宋体"/>
                <w:b w:val="0"/>
                <w:bCs w:val="0"/>
                <w:color w:val="auto"/>
                <w:sz w:val="21"/>
                <w:szCs w:val="21"/>
                <w:highlight w:val="none"/>
                <w:u w:val="none"/>
                <w:lang w:val="en-US" w:eastAsia="zh-CN"/>
              </w:rPr>
              <w:t>9</w:t>
            </w:r>
            <w:r>
              <w:rPr>
                <w:rFonts w:hint="eastAsia" w:ascii="宋体" w:hAnsi="宋体" w:eastAsia="宋体" w:cs="宋体"/>
                <w:b w:val="0"/>
                <w:bCs w:val="0"/>
                <w:color w:val="auto"/>
                <w:sz w:val="21"/>
                <w:szCs w:val="21"/>
                <w:highlight w:val="none"/>
                <w:u w:val="none"/>
              </w:rPr>
              <w:t>年度的财务状况进行评分，三年盈利的得3分，两年盈利的得2分，一年盈利的得1分。</w:t>
            </w:r>
          </w:p>
          <w:p>
            <w:pPr>
              <w:snapToGrid w:val="0"/>
              <w:spacing w:line="288" w:lineRule="auto"/>
              <w:rPr>
                <w:rFonts w:hAnsi="宋体"/>
                <w:color w:val="auto"/>
                <w:sz w:val="21"/>
                <w:szCs w:val="21"/>
                <w:highlight w:val="none"/>
              </w:rPr>
            </w:pPr>
            <w:r>
              <w:rPr>
                <w:rFonts w:hint="eastAsia" w:ascii="宋体" w:hAnsi="宋体" w:eastAsia="宋体" w:cs="宋体"/>
                <w:b w:val="0"/>
                <w:bCs w:val="0"/>
                <w:color w:val="auto"/>
                <w:sz w:val="21"/>
                <w:szCs w:val="21"/>
                <w:highlight w:val="none"/>
                <w:u w:val="none"/>
              </w:rPr>
              <w:t>注：以会计师事务所审计的财务报表为准，开标现场不能提供原件核对的，不得分。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2</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Ansi="宋体"/>
                <w:color w:val="auto"/>
                <w:sz w:val="21"/>
                <w:szCs w:val="21"/>
                <w:highlight w:val="none"/>
              </w:rPr>
            </w:pPr>
            <w:r>
              <w:rPr>
                <w:rFonts w:hint="eastAsia" w:hAnsi="宋体"/>
                <w:color w:val="auto"/>
                <w:sz w:val="21"/>
                <w:szCs w:val="21"/>
                <w:highlight w:val="none"/>
              </w:rPr>
              <w:t>企业认证</w:t>
            </w:r>
          </w:p>
        </w:tc>
        <w:tc>
          <w:tcPr>
            <w:tcW w:w="86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lang w:val="en-US" w:eastAsia="zh-CN"/>
              </w:rPr>
              <w:t>3</w:t>
            </w:r>
          </w:p>
        </w:tc>
        <w:tc>
          <w:tcPr>
            <w:tcW w:w="5724" w:type="dxa"/>
            <w:tcBorders>
              <w:top w:val="single" w:color="auto" w:sz="4" w:space="0"/>
              <w:left w:val="single" w:color="auto" w:sz="4" w:space="0"/>
              <w:bottom w:val="single" w:color="auto" w:sz="4" w:space="0"/>
              <w:right w:val="single" w:color="auto" w:sz="4" w:space="0"/>
            </w:tcBorders>
            <w:vAlign w:val="center"/>
          </w:tcPr>
          <w:p>
            <w:pPr>
              <w:tabs>
                <w:tab w:val="left" w:pos="312"/>
              </w:tabs>
              <w:snapToGrid w:val="0"/>
              <w:spacing w:line="360" w:lineRule="auto"/>
              <w:rPr>
                <w:rFonts w:hAnsi="宋体"/>
                <w:color w:val="auto"/>
                <w:sz w:val="21"/>
                <w:szCs w:val="21"/>
                <w:highlight w:val="none"/>
              </w:rPr>
            </w:pPr>
            <w:r>
              <w:rPr>
                <w:rFonts w:hint="eastAsia" w:hAnsi="宋体"/>
                <w:color w:val="auto"/>
                <w:sz w:val="21"/>
                <w:szCs w:val="21"/>
                <w:highlight w:val="none"/>
              </w:rPr>
              <w:t>根据供应商具有由国家认证认可监督管理部门批准设立的认证机构颁发并在有效期内的质量管理体系认证证书、环境管理体系认证证书、职业健康安全管理体系认证证书进行评分。每具备一项证书得</w:t>
            </w:r>
            <w:r>
              <w:rPr>
                <w:rFonts w:hint="eastAsia" w:hAnsi="宋体"/>
                <w:color w:val="auto"/>
                <w:sz w:val="21"/>
                <w:szCs w:val="21"/>
                <w:highlight w:val="none"/>
                <w:lang w:val="en-US" w:eastAsia="zh-CN"/>
              </w:rPr>
              <w:t>1</w:t>
            </w:r>
            <w:r>
              <w:rPr>
                <w:rFonts w:hint="eastAsia" w:hAnsi="宋体"/>
                <w:color w:val="auto"/>
                <w:sz w:val="21"/>
                <w:szCs w:val="21"/>
                <w:highlight w:val="none"/>
              </w:rPr>
              <w:t>分，最高得</w:t>
            </w:r>
            <w:r>
              <w:rPr>
                <w:rFonts w:hint="eastAsia" w:hAnsi="宋体"/>
                <w:color w:val="auto"/>
                <w:sz w:val="21"/>
                <w:szCs w:val="21"/>
                <w:highlight w:val="none"/>
                <w:lang w:val="en-US" w:eastAsia="zh-CN"/>
              </w:rPr>
              <w:t>3</w:t>
            </w:r>
            <w:r>
              <w:rPr>
                <w:rFonts w:hint="eastAsia"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3</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olor w:val="auto"/>
                <w:sz w:val="21"/>
                <w:szCs w:val="21"/>
                <w:highlight w:val="none"/>
              </w:rPr>
            </w:pPr>
            <w:r>
              <w:rPr>
                <w:rFonts w:hint="eastAsia" w:hAnsi="宋体"/>
                <w:color w:val="auto"/>
                <w:sz w:val="21"/>
                <w:szCs w:val="21"/>
                <w:highlight w:val="none"/>
              </w:rPr>
              <w:t>同类项目业绩</w:t>
            </w:r>
          </w:p>
        </w:tc>
        <w:tc>
          <w:tcPr>
            <w:tcW w:w="86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lang w:val="en-US" w:eastAsia="zh-CN"/>
              </w:rPr>
              <w:t>15</w:t>
            </w:r>
          </w:p>
        </w:tc>
        <w:tc>
          <w:tcPr>
            <w:tcW w:w="57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hAnsi="宋体"/>
                <w:color w:val="auto"/>
                <w:sz w:val="21"/>
                <w:szCs w:val="21"/>
                <w:highlight w:val="none"/>
              </w:rPr>
            </w:pPr>
            <w:r>
              <w:rPr>
                <w:rFonts w:hint="eastAsia" w:hAnsi="宋体"/>
                <w:color w:val="auto"/>
                <w:sz w:val="21"/>
                <w:szCs w:val="21"/>
                <w:highlight w:val="none"/>
              </w:rPr>
              <w:t>供应商</w:t>
            </w:r>
            <w:r>
              <w:rPr>
                <w:rFonts w:hint="eastAsia" w:hAnsi="宋体"/>
                <w:color w:val="auto"/>
                <w:sz w:val="21"/>
                <w:szCs w:val="21"/>
                <w:highlight w:val="none"/>
                <w:lang w:val="en-US" w:eastAsia="zh-CN"/>
              </w:rPr>
              <w:t>2017年</w:t>
            </w:r>
            <w:r>
              <w:rPr>
                <w:rFonts w:hint="eastAsia" w:hAnsi="宋体"/>
                <w:color w:val="auto"/>
                <w:sz w:val="21"/>
                <w:szCs w:val="21"/>
                <w:highlight w:val="none"/>
                <w:lang w:eastAsia="zh-CN"/>
              </w:rPr>
              <w:t>至今</w:t>
            </w:r>
            <w:r>
              <w:rPr>
                <w:rFonts w:hint="eastAsia" w:hAnsi="宋体"/>
                <w:color w:val="auto"/>
                <w:sz w:val="21"/>
                <w:szCs w:val="21"/>
                <w:highlight w:val="none"/>
              </w:rPr>
              <w:t>（以合同签订日期为准）完成或正在管理的房地产销售中心案场物业管理项目业绩</w:t>
            </w:r>
            <w:r>
              <w:rPr>
                <w:rFonts w:hint="eastAsia" w:hAnsi="宋体"/>
                <w:color w:val="auto"/>
                <w:sz w:val="21"/>
                <w:szCs w:val="21"/>
                <w:highlight w:val="none"/>
                <w:lang w:eastAsia="zh-CN"/>
              </w:rPr>
              <w:t>，</w:t>
            </w:r>
            <w:r>
              <w:rPr>
                <w:rFonts w:hint="eastAsia" w:hAnsi="宋体"/>
                <w:color w:val="auto"/>
                <w:sz w:val="21"/>
                <w:szCs w:val="21"/>
                <w:highlight w:val="none"/>
              </w:rPr>
              <w:t>每个得</w:t>
            </w:r>
            <w:r>
              <w:rPr>
                <w:rFonts w:hint="eastAsia" w:hAnsi="宋体"/>
                <w:color w:val="auto"/>
                <w:sz w:val="21"/>
                <w:szCs w:val="21"/>
                <w:highlight w:val="none"/>
                <w:lang w:val="en-US" w:eastAsia="zh-CN"/>
              </w:rPr>
              <w:t>1</w:t>
            </w:r>
            <w:r>
              <w:rPr>
                <w:rFonts w:hint="eastAsia" w:hAnsi="宋体"/>
                <w:color w:val="auto"/>
                <w:sz w:val="21"/>
                <w:szCs w:val="21"/>
                <w:highlight w:val="none"/>
              </w:rPr>
              <w:t>分</w:t>
            </w:r>
            <w:r>
              <w:rPr>
                <w:rFonts w:hint="eastAsia" w:hAnsi="宋体"/>
                <w:color w:val="auto"/>
                <w:sz w:val="21"/>
                <w:szCs w:val="21"/>
                <w:highlight w:val="none"/>
                <w:lang w:eastAsia="zh-CN"/>
              </w:rPr>
              <w:t>，</w:t>
            </w:r>
            <w:r>
              <w:rPr>
                <w:rFonts w:hint="eastAsia" w:hAnsi="宋体"/>
                <w:color w:val="auto"/>
                <w:sz w:val="21"/>
                <w:szCs w:val="21"/>
                <w:highlight w:val="none"/>
              </w:rPr>
              <w:t>最高得</w:t>
            </w:r>
            <w:r>
              <w:rPr>
                <w:rFonts w:hint="eastAsia" w:hAnsi="宋体"/>
                <w:color w:val="auto"/>
                <w:sz w:val="21"/>
                <w:szCs w:val="21"/>
                <w:highlight w:val="none"/>
                <w:lang w:val="en-US" w:eastAsia="zh-CN"/>
              </w:rPr>
              <w:t>15</w:t>
            </w:r>
            <w:r>
              <w:rPr>
                <w:rFonts w:hint="eastAsia" w:hAnsi="宋体"/>
                <w:color w:val="auto"/>
                <w:sz w:val="21"/>
                <w:szCs w:val="21"/>
                <w:highlight w:val="none"/>
              </w:rPr>
              <w:t>分。</w:t>
            </w:r>
          </w:p>
          <w:p>
            <w:pPr>
              <w:snapToGrid w:val="0"/>
              <w:spacing w:line="360" w:lineRule="auto"/>
              <w:rPr>
                <w:rFonts w:hAnsi="宋体"/>
                <w:color w:val="auto"/>
                <w:sz w:val="21"/>
                <w:szCs w:val="21"/>
                <w:highlight w:val="none"/>
              </w:rPr>
            </w:pPr>
            <w:r>
              <w:rPr>
                <w:rFonts w:hint="eastAsia" w:hAnsi="宋体"/>
                <w:color w:val="auto"/>
                <w:sz w:val="21"/>
                <w:szCs w:val="21"/>
                <w:highlight w:val="none"/>
              </w:rPr>
              <w:t>注：须提供合同复印件加盖投标人公章。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4</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eastAsia="宋体"/>
                <w:color w:val="auto"/>
                <w:sz w:val="21"/>
                <w:szCs w:val="21"/>
                <w:highlight w:val="none"/>
                <w:lang w:eastAsia="zh-CN"/>
              </w:rPr>
            </w:pPr>
            <w:r>
              <w:rPr>
                <w:rFonts w:hint="eastAsia" w:hAnsi="宋体"/>
                <w:color w:val="auto"/>
                <w:sz w:val="21"/>
                <w:szCs w:val="21"/>
                <w:highlight w:val="none"/>
                <w:lang w:eastAsia="zh-CN"/>
              </w:rPr>
              <w:t>项目经理业绩</w:t>
            </w:r>
          </w:p>
        </w:tc>
        <w:tc>
          <w:tcPr>
            <w:tcW w:w="86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8</w:t>
            </w:r>
          </w:p>
        </w:tc>
        <w:tc>
          <w:tcPr>
            <w:tcW w:w="5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color w:val="auto"/>
                <w:sz w:val="21"/>
                <w:szCs w:val="21"/>
                <w:highlight w:val="none"/>
              </w:rPr>
            </w:pPr>
            <w:r>
              <w:rPr>
                <w:rFonts w:hint="eastAsia"/>
                <w:color w:val="auto"/>
                <w:sz w:val="21"/>
                <w:szCs w:val="21"/>
                <w:highlight w:val="none"/>
                <w:lang w:eastAsia="zh-CN"/>
              </w:rPr>
              <w:t>拟投入本项目的项目经理承担过</w:t>
            </w:r>
            <w:r>
              <w:rPr>
                <w:rFonts w:hint="eastAsia"/>
                <w:color w:val="auto"/>
                <w:sz w:val="21"/>
                <w:szCs w:val="21"/>
                <w:highlight w:val="none"/>
              </w:rPr>
              <w:t>房地产销售中心案场物业管理项目业绩，每个得</w:t>
            </w:r>
            <w:r>
              <w:rPr>
                <w:rFonts w:hint="eastAsia"/>
                <w:color w:val="auto"/>
                <w:sz w:val="21"/>
                <w:szCs w:val="21"/>
                <w:highlight w:val="none"/>
                <w:lang w:eastAsia="zh-CN"/>
              </w:rPr>
              <w:t>2</w:t>
            </w:r>
            <w:r>
              <w:rPr>
                <w:rFonts w:hint="eastAsia"/>
                <w:color w:val="auto"/>
                <w:sz w:val="21"/>
                <w:szCs w:val="21"/>
                <w:highlight w:val="none"/>
              </w:rPr>
              <w:t>分，最高得</w:t>
            </w:r>
            <w:r>
              <w:rPr>
                <w:rFonts w:hint="eastAsia"/>
                <w:color w:val="auto"/>
                <w:sz w:val="21"/>
                <w:szCs w:val="21"/>
                <w:highlight w:val="none"/>
                <w:lang w:eastAsia="zh-CN"/>
              </w:rPr>
              <w:t>8</w:t>
            </w:r>
            <w:r>
              <w:rPr>
                <w:rFonts w:hint="eastAsia"/>
                <w:color w:val="auto"/>
                <w:sz w:val="21"/>
                <w:szCs w:val="21"/>
                <w:highlight w:val="none"/>
              </w:rPr>
              <w:t>分。</w:t>
            </w:r>
          </w:p>
          <w:p>
            <w:pPr>
              <w:pStyle w:val="2"/>
              <w:keepNext w:val="0"/>
              <w:keepLines w:val="0"/>
              <w:pageBreakBefore w:val="0"/>
              <w:widowControl w:val="0"/>
              <w:kinsoku/>
              <w:wordWrap/>
              <w:overflowPunct/>
              <w:topLinePunct w:val="0"/>
              <w:autoSpaceDE w:val="0"/>
              <w:autoSpaceDN w:val="0"/>
              <w:bidi w:val="0"/>
              <w:adjustRightInd w:val="0"/>
              <w:spacing w:line="360" w:lineRule="auto"/>
              <w:ind w:firstLine="0" w:firstLineChars="0"/>
              <w:textAlignment w:val="auto"/>
              <w:rPr>
                <w:rFonts w:hint="eastAsia"/>
                <w:color w:val="auto"/>
                <w:sz w:val="21"/>
                <w:szCs w:val="21"/>
                <w:highlight w:val="none"/>
                <w:lang w:eastAsia="zh-CN"/>
              </w:rPr>
            </w:pPr>
            <w:r>
              <w:rPr>
                <w:rFonts w:hint="eastAsia" w:hAnsi="宋体"/>
                <w:color w:val="auto"/>
                <w:sz w:val="21"/>
                <w:szCs w:val="21"/>
                <w:highlight w:val="none"/>
              </w:rPr>
              <w:t>注：须提供合同复印件加盖投标人公章</w:t>
            </w:r>
            <w:r>
              <w:rPr>
                <w:rFonts w:hint="eastAsia" w:hAnsi="宋体"/>
                <w:color w:val="auto"/>
                <w:sz w:val="21"/>
                <w:szCs w:val="21"/>
                <w:highlight w:val="none"/>
                <w:lang w:eastAsia="zh-CN"/>
              </w:rPr>
              <w:t>（</w:t>
            </w:r>
            <w:r>
              <w:rPr>
                <w:rFonts w:hint="eastAsia" w:hAnsi="宋体"/>
                <w:color w:val="auto"/>
                <w:sz w:val="21"/>
                <w:szCs w:val="21"/>
                <w:highlight w:val="none"/>
              </w:rPr>
              <w:t>如合同未能体现</w:t>
            </w:r>
            <w:r>
              <w:rPr>
                <w:rFonts w:hint="eastAsia" w:hAnsi="宋体"/>
                <w:color w:val="auto"/>
                <w:sz w:val="21"/>
                <w:szCs w:val="21"/>
                <w:highlight w:val="none"/>
                <w:lang w:eastAsia="zh-CN"/>
              </w:rPr>
              <w:t>项目经理</w:t>
            </w:r>
            <w:r>
              <w:rPr>
                <w:rFonts w:hint="eastAsia" w:hAnsi="宋体"/>
                <w:color w:val="auto"/>
                <w:sz w:val="21"/>
                <w:szCs w:val="21"/>
                <w:highlight w:val="none"/>
              </w:rPr>
              <w:t>等主要信息，由</w:t>
            </w:r>
            <w:r>
              <w:rPr>
                <w:rFonts w:hint="eastAsia" w:hAnsi="宋体"/>
                <w:color w:val="auto"/>
                <w:sz w:val="21"/>
                <w:szCs w:val="21"/>
                <w:highlight w:val="none"/>
                <w:lang w:eastAsia="zh-CN"/>
              </w:rPr>
              <w:t>供应商</w:t>
            </w:r>
            <w:r>
              <w:rPr>
                <w:rFonts w:hint="eastAsia" w:hAnsi="宋体"/>
                <w:color w:val="auto"/>
                <w:sz w:val="21"/>
                <w:szCs w:val="21"/>
                <w:highlight w:val="none"/>
              </w:rPr>
              <w:t>提供相关证明材料加盖公章。</w:t>
            </w:r>
            <w:r>
              <w:rPr>
                <w:rFonts w:hint="eastAsia"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hint="eastAsia" w:ascii="宋体" w:eastAsia="宋体"/>
                <w:color w:val="auto"/>
                <w:sz w:val="21"/>
                <w:szCs w:val="21"/>
                <w:highlight w:val="none"/>
                <w:lang w:eastAsia="zh-CN"/>
              </w:rPr>
            </w:pPr>
            <w:r>
              <w:rPr>
                <w:rFonts w:hint="eastAsia" w:ascii="宋体" w:eastAsia="宋体"/>
                <w:color w:val="auto"/>
                <w:sz w:val="21"/>
                <w:szCs w:val="21"/>
                <w:highlight w:val="none"/>
                <w:lang w:val="en-US" w:eastAsia="zh-CN"/>
              </w:rPr>
              <w:t>5</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autoSpaceDE/>
              <w:autoSpaceDN/>
              <w:adjustRightInd/>
              <w:jc w:val="center"/>
              <w:rPr>
                <w:rFonts w:hAnsi="宋体"/>
                <w:color w:val="auto"/>
                <w:sz w:val="21"/>
                <w:szCs w:val="21"/>
                <w:highlight w:val="none"/>
              </w:rPr>
            </w:pPr>
            <w:r>
              <w:rPr>
                <w:rFonts w:hint="eastAsia" w:hAnsi="宋体"/>
                <w:color w:val="auto"/>
                <w:kern w:val="2"/>
                <w:sz w:val="21"/>
                <w:szCs w:val="21"/>
                <w:highlight w:val="none"/>
              </w:rPr>
              <w:t>企业荣誉</w:t>
            </w:r>
          </w:p>
        </w:tc>
        <w:tc>
          <w:tcPr>
            <w:tcW w:w="863" w:type="dxa"/>
            <w:tcBorders>
              <w:top w:val="single" w:color="auto" w:sz="4" w:space="0"/>
              <w:left w:val="single" w:color="auto" w:sz="4" w:space="0"/>
              <w:bottom w:val="single" w:color="auto" w:sz="4" w:space="0"/>
              <w:right w:val="single" w:color="auto" w:sz="4" w:space="0"/>
            </w:tcBorders>
            <w:vAlign w:val="center"/>
          </w:tcPr>
          <w:p>
            <w:pPr>
              <w:autoSpaceDE/>
              <w:autoSpaceDN/>
              <w:adjustRightInd/>
              <w:jc w:val="center"/>
              <w:rPr>
                <w:color w:val="auto"/>
                <w:sz w:val="21"/>
                <w:szCs w:val="21"/>
                <w:highlight w:val="none"/>
              </w:rPr>
            </w:pPr>
            <w:r>
              <w:rPr>
                <w:rFonts w:hint="eastAsia" w:hAnsi="宋体"/>
                <w:color w:val="auto"/>
                <w:kern w:val="2"/>
                <w:sz w:val="21"/>
                <w:szCs w:val="21"/>
                <w:highlight w:val="none"/>
                <w:lang w:val="en-US" w:eastAsia="zh-CN"/>
              </w:rPr>
              <w:t>6</w:t>
            </w:r>
          </w:p>
        </w:tc>
        <w:tc>
          <w:tcPr>
            <w:tcW w:w="5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1、提供</w:t>
            </w:r>
            <w:r>
              <w:rPr>
                <w:rFonts w:hint="eastAsia" w:hAnsi="宋体"/>
                <w:color w:val="auto"/>
                <w:sz w:val="21"/>
                <w:szCs w:val="21"/>
                <w:highlight w:val="none"/>
                <w:lang w:val="en-US" w:eastAsia="zh-CN"/>
              </w:rPr>
              <w:t>2017年</w:t>
            </w:r>
            <w:r>
              <w:rPr>
                <w:rFonts w:hint="eastAsia" w:hAnsi="宋体"/>
                <w:color w:val="auto"/>
                <w:sz w:val="21"/>
                <w:szCs w:val="21"/>
                <w:highlight w:val="none"/>
                <w:lang w:eastAsia="zh-CN"/>
              </w:rPr>
              <w:t>至今</w:t>
            </w:r>
            <w:r>
              <w:rPr>
                <w:rFonts w:hint="eastAsia" w:asciiTheme="minorEastAsia" w:hAnsiTheme="minorEastAsia" w:eastAsiaTheme="minorEastAsia"/>
                <w:color w:val="auto"/>
                <w:sz w:val="21"/>
                <w:szCs w:val="21"/>
                <w:highlight w:val="none"/>
              </w:rPr>
              <w:t>有获得市级或以上工商行政管理部门或市场监督管理部门（如</w:t>
            </w:r>
            <w:r>
              <w:rPr>
                <w:rFonts w:hint="eastAsia" w:asciiTheme="minorEastAsia" w:hAnsiTheme="minorEastAsia" w:eastAsiaTheme="minorEastAsia"/>
                <w:color w:val="auto"/>
                <w:sz w:val="21"/>
                <w:szCs w:val="21"/>
                <w:highlight w:val="none"/>
                <w:lang w:eastAsia="zh-CN"/>
              </w:rPr>
              <w:t>供应商</w:t>
            </w:r>
            <w:r>
              <w:rPr>
                <w:rFonts w:hint="eastAsia" w:asciiTheme="minorEastAsia" w:hAnsiTheme="minorEastAsia" w:eastAsiaTheme="minorEastAsia"/>
                <w:color w:val="auto"/>
                <w:sz w:val="21"/>
                <w:szCs w:val="21"/>
                <w:highlight w:val="none"/>
              </w:rPr>
              <w:t>注册所在地的上述部门不再颁发的，则所在地的相关协会颁发的同等认可）颁发的“守合同重信用”证书，得</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分；</w:t>
            </w:r>
          </w:p>
          <w:p>
            <w:pPr>
              <w:spacing w:line="27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、提供</w:t>
            </w:r>
            <w:r>
              <w:rPr>
                <w:rFonts w:hint="eastAsia" w:hAnsi="宋体"/>
                <w:color w:val="auto"/>
                <w:sz w:val="21"/>
                <w:szCs w:val="21"/>
                <w:highlight w:val="none"/>
                <w:lang w:val="en-US" w:eastAsia="zh-CN"/>
              </w:rPr>
              <w:t>2017年</w:t>
            </w:r>
            <w:r>
              <w:rPr>
                <w:rFonts w:hint="eastAsia" w:hAnsi="宋体"/>
                <w:color w:val="auto"/>
                <w:sz w:val="21"/>
                <w:szCs w:val="21"/>
                <w:highlight w:val="none"/>
                <w:lang w:eastAsia="zh-CN"/>
              </w:rPr>
              <w:t>至今</w:t>
            </w:r>
            <w:r>
              <w:rPr>
                <w:rFonts w:hint="eastAsia" w:asciiTheme="minorEastAsia" w:hAnsiTheme="minorEastAsia" w:eastAsiaTheme="minorEastAsia"/>
                <w:color w:val="auto"/>
                <w:sz w:val="21"/>
                <w:szCs w:val="21"/>
                <w:highlight w:val="none"/>
              </w:rPr>
              <w:t>有获得过中国物业服务百强服务质量领先企业（以中国物业管理协会或中国指数研究院颁发的为准），得</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分；</w:t>
            </w:r>
          </w:p>
          <w:p>
            <w:pPr>
              <w:spacing w:line="27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、提供</w:t>
            </w:r>
            <w:r>
              <w:rPr>
                <w:rFonts w:hint="eastAsia" w:hAnsi="宋体"/>
                <w:color w:val="auto"/>
                <w:sz w:val="21"/>
                <w:szCs w:val="21"/>
                <w:highlight w:val="none"/>
                <w:lang w:val="en-US" w:eastAsia="zh-CN"/>
              </w:rPr>
              <w:t>2017年</w:t>
            </w:r>
            <w:r>
              <w:rPr>
                <w:rFonts w:hint="eastAsia" w:hAnsi="宋体"/>
                <w:color w:val="auto"/>
                <w:sz w:val="21"/>
                <w:szCs w:val="21"/>
                <w:highlight w:val="none"/>
                <w:lang w:eastAsia="zh-CN"/>
              </w:rPr>
              <w:t>至今</w:t>
            </w:r>
            <w:r>
              <w:rPr>
                <w:rFonts w:hint="eastAsia" w:asciiTheme="minorEastAsia" w:hAnsiTheme="minorEastAsia" w:eastAsiaTheme="minorEastAsia"/>
                <w:color w:val="auto"/>
                <w:sz w:val="21"/>
                <w:szCs w:val="21"/>
                <w:highlight w:val="none"/>
              </w:rPr>
              <w:t>有获得过</w:t>
            </w:r>
            <w:r>
              <w:rPr>
                <w:rFonts w:hint="eastAsia" w:asciiTheme="minorEastAsia" w:hAnsiTheme="minorEastAsia" w:eastAsiaTheme="minorEastAsia"/>
                <w:color w:val="auto"/>
                <w:sz w:val="21"/>
                <w:szCs w:val="21"/>
                <w:highlight w:val="none"/>
                <w:lang w:eastAsia="zh-CN"/>
              </w:rPr>
              <w:t>市</w:t>
            </w:r>
            <w:r>
              <w:rPr>
                <w:rFonts w:hint="eastAsia" w:asciiTheme="minorEastAsia" w:hAnsiTheme="minorEastAsia" w:eastAsiaTheme="minorEastAsia"/>
                <w:color w:val="auto"/>
                <w:sz w:val="21"/>
                <w:szCs w:val="21"/>
                <w:highlight w:val="none"/>
              </w:rPr>
              <w:t>级或以上主管部门或物业行业协会颁发的“示范大厦”或“优秀项目”，得</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分；</w:t>
            </w:r>
          </w:p>
          <w:p>
            <w:pPr>
              <w:pStyle w:val="2"/>
              <w:ind w:firstLine="0" w:firstLineChars="0"/>
              <w:rPr>
                <w:color w:val="auto"/>
                <w:highlight w:val="none"/>
                <w:lang w:val="en-US"/>
              </w:rPr>
            </w:pPr>
            <w:r>
              <w:rPr>
                <w:rFonts w:asciiTheme="minorEastAsia" w:hAnsiTheme="minorEastAsia" w:eastAsiaTheme="minorEastAsia"/>
                <w:color w:val="auto"/>
                <w:sz w:val="21"/>
                <w:szCs w:val="21"/>
                <w:highlight w:val="none"/>
                <w:lang w:val="en-US"/>
              </w:rPr>
              <w:t>以上证明均需提供证书或相关证明，无提供不得分。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1" w:type="dxa"/>
            <w:gridSpan w:val="5"/>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0" w:firstLineChars="0"/>
              <w:jc w:val="center"/>
              <w:rPr>
                <w:rFonts w:ascii="宋体" w:eastAsia="宋体"/>
                <w:color w:val="auto"/>
                <w:sz w:val="21"/>
                <w:szCs w:val="21"/>
                <w:highlight w:val="none"/>
              </w:rPr>
            </w:pPr>
            <w:r>
              <w:rPr>
                <w:rFonts w:hint="eastAsia" w:ascii="宋体" w:eastAsia="宋体"/>
                <w:b/>
                <w:color w:val="auto"/>
                <w:sz w:val="21"/>
                <w:szCs w:val="21"/>
                <w:highlight w:val="none"/>
              </w:rPr>
              <w:t>技术评分（35分）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right w:val="single" w:color="auto" w:sz="4" w:space="0"/>
            </w:tcBorders>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1</w:t>
            </w:r>
          </w:p>
        </w:tc>
        <w:tc>
          <w:tcPr>
            <w:tcW w:w="1620" w:type="dxa"/>
            <w:gridSpan w:val="2"/>
            <w:tcBorders>
              <w:top w:val="single" w:color="auto" w:sz="4" w:space="0"/>
              <w:left w:val="single" w:color="auto" w:sz="4" w:space="0"/>
              <w:right w:val="single" w:color="auto" w:sz="4" w:space="0"/>
            </w:tcBorders>
            <w:vAlign w:val="center"/>
          </w:tcPr>
          <w:p>
            <w:pPr>
              <w:pStyle w:val="183"/>
              <w:spacing w:line="360" w:lineRule="auto"/>
              <w:ind w:left="107" w:right="107"/>
              <w:jc w:val="center"/>
              <w:rPr>
                <w:color w:val="auto"/>
                <w:sz w:val="21"/>
                <w:szCs w:val="21"/>
                <w:highlight w:val="none"/>
              </w:rPr>
            </w:pPr>
            <w:r>
              <w:rPr>
                <w:rFonts w:ascii="宋体" w:hAnsi="宋体" w:cs="宋体"/>
                <w:color w:val="auto"/>
                <w:sz w:val="21"/>
                <w:szCs w:val="21"/>
                <w:highlight w:val="none"/>
              </w:rPr>
              <w:t>物业管理服务整体设想和规划</w:t>
            </w:r>
          </w:p>
        </w:tc>
        <w:tc>
          <w:tcPr>
            <w:tcW w:w="863" w:type="dxa"/>
            <w:tcBorders>
              <w:top w:val="single" w:color="auto" w:sz="4" w:space="0"/>
              <w:left w:val="single" w:color="auto" w:sz="4" w:space="0"/>
              <w:right w:val="single" w:color="auto" w:sz="4" w:space="0"/>
            </w:tcBorders>
            <w:vAlign w:val="center"/>
          </w:tcPr>
          <w:p>
            <w:pPr>
              <w:pStyle w:val="183"/>
              <w:spacing w:line="360" w:lineRule="auto"/>
              <w:jc w:val="center"/>
              <w:rPr>
                <w:color w:val="auto"/>
                <w:sz w:val="21"/>
                <w:szCs w:val="21"/>
                <w:highlight w:val="none"/>
              </w:rPr>
            </w:pPr>
            <w:r>
              <w:rPr>
                <w:rFonts w:hint="eastAsia" w:ascii="宋体" w:hAnsi="宋体" w:cs="宋体"/>
                <w:color w:val="auto"/>
                <w:sz w:val="21"/>
                <w:szCs w:val="21"/>
                <w:highlight w:val="none"/>
                <w:lang w:val="en-US" w:eastAsia="zh-CN"/>
              </w:rPr>
              <w:t>8</w:t>
            </w:r>
          </w:p>
        </w:tc>
        <w:tc>
          <w:tcPr>
            <w:tcW w:w="5724" w:type="dxa"/>
            <w:tcBorders>
              <w:top w:val="single" w:color="auto" w:sz="4" w:space="0"/>
              <w:left w:val="single" w:color="auto" w:sz="4" w:space="0"/>
              <w:bottom w:val="single" w:color="auto" w:sz="4" w:space="0"/>
              <w:right w:val="single" w:color="auto" w:sz="4" w:space="0"/>
            </w:tcBorders>
            <w:vAlign w:val="center"/>
          </w:tcPr>
          <w:p>
            <w:pPr>
              <w:numPr>
                <w:ilvl w:val="0"/>
                <w:numId w:val="20"/>
              </w:numPr>
              <w:snapToGrid w:val="0"/>
              <w:spacing w:line="360" w:lineRule="auto"/>
              <w:rPr>
                <w:color w:val="auto"/>
                <w:sz w:val="21"/>
                <w:szCs w:val="21"/>
                <w:highlight w:val="none"/>
              </w:rPr>
            </w:pPr>
            <w:r>
              <w:rPr>
                <w:color w:val="auto"/>
                <w:sz w:val="21"/>
                <w:szCs w:val="21"/>
                <w:highlight w:val="none"/>
              </w:rPr>
              <w:t>针对本项目物业管理服务整体设想和规划，阐述内容详细、全面、清晰，项目针对性强，操作性明显可行的得</w:t>
            </w:r>
            <w:r>
              <w:rPr>
                <w:rFonts w:hint="eastAsia"/>
                <w:color w:val="auto"/>
                <w:sz w:val="21"/>
                <w:szCs w:val="21"/>
                <w:highlight w:val="none"/>
                <w:lang w:val="en-US" w:eastAsia="zh-CN"/>
              </w:rPr>
              <w:t>8</w:t>
            </w:r>
            <w:r>
              <w:rPr>
                <w:color w:val="auto"/>
                <w:sz w:val="21"/>
                <w:szCs w:val="21"/>
                <w:highlight w:val="none"/>
              </w:rPr>
              <w:t>分。</w:t>
            </w:r>
          </w:p>
          <w:p>
            <w:pPr>
              <w:snapToGrid w:val="0"/>
              <w:spacing w:line="360" w:lineRule="auto"/>
              <w:rPr>
                <w:color w:val="auto"/>
                <w:sz w:val="21"/>
                <w:szCs w:val="21"/>
                <w:highlight w:val="none"/>
              </w:rPr>
            </w:pPr>
            <w:r>
              <w:rPr>
                <w:color w:val="auto"/>
                <w:sz w:val="21"/>
                <w:szCs w:val="21"/>
                <w:highlight w:val="none"/>
              </w:rPr>
              <w:t>2.针对本项目物业管理服务整体设想和规划，阐述内容较为完整，有一定项目的针对性且实施操作性可行的得</w:t>
            </w:r>
            <w:r>
              <w:rPr>
                <w:rFonts w:hint="eastAsia"/>
                <w:color w:val="auto"/>
                <w:sz w:val="21"/>
                <w:szCs w:val="21"/>
                <w:highlight w:val="none"/>
                <w:lang w:val="en-US" w:eastAsia="zh-CN"/>
              </w:rPr>
              <w:t>5</w:t>
            </w:r>
            <w:r>
              <w:rPr>
                <w:color w:val="auto"/>
                <w:sz w:val="21"/>
                <w:szCs w:val="21"/>
                <w:highlight w:val="none"/>
              </w:rPr>
              <w:t>分；</w:t>
            </w:r>
          </w:p>
          <w:p>
            <w:pPr>
              <w:snapToGrid w:val="0"/>
              <w:spacing w:line="360" w:lineRule="auto"/>
              <w:rPr>
                <w:color w:val="auto"/>
                <w:sz w:val="21"/>
                <w:szCs w:val="21"/>
                <w:highlight w:val="none"/>
              </w:rPr>
            </w:pPr>
            <w:r>
              <w:rPr>
                <w:color w:val="auto"/>
                <w:sz w:val="21"/>
                <w:szCs w:val="21"/>
                <w:highlight w:val="none"/>
              </w:rPr>
              <w:t>3.针对本项目物业管理服务整体设想和规划，阐述内容基本完善，针对性及可操作性一般的得</w:t>
            </w:r>
            <w:r>
              <w:rPr>
                <w:rFonts w:hint="eastAsia"/>
                <w:color w:val="auto"/>
                <w:sz w:val="21"/>
                <w:szCs w:val="21"/>
                <w:highlight w:val="none"/>
              </w:rPr>
              <w:t>1</w:t>
            </w:r>
            <w:r>
              <w:rPr>
                <w:color w:val="auto"/>
                <w:sz w:val="21"/>
                <w:szCs w:val="21"/>
                <w:highlight w:val="none"/>
              </w:rPr>
              <w:t>分；</w:t>
            </w:r>
          </w:p>
          <w:p>
            <w:pPr>
              <w:pStyle w:val="2"/>
              <w:spacing w:line="360" w:lineRule="auto"/>
              <w:ind w:firstLine="0" w:firstLineChars="0"/>
              <w:rPr>
                <w:color w:val="auto"/>
                <w:sz w:val="21"/>
                <w:szCs w:val="21"/>
                <w:highlight w:val="none"/>
              </w:rPr>
            </w:pPr>
            <w:r>
              <w:rPr>
                <w:rFonts w:hint="eastAsia"/>
                <w:color w:val="auto"/>
                <w:sz w:val="21"/>
                <w:szCs w:val="21"/>
                <w:highlight w:val="none"/>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4" w:type="dxa"/>
            <w:tcBorders>
              <w:top w:val="single" w:color="auto" w:sz="4" w:space="0"/>
              <w:left w:val="single" w:color="auto" w:sz="4" w:space="0"/>
              <w:right w:val="single" w:color="auto" w:sz="4" w:space="0"/>
            </w:tcBorders>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2</w:t>
            </w:r>
          </w:p>
        </w:tc>
        <w:tc>
          <w:tcPr>
            <w:tcW w:w="1620" w:type="dxa"/>
            <w:gridSpan w:val="2"/>
            <w:tcBorders>
              <w:top w:val="single" w:color="auto" w:sz="4" w:space="0"/>
              <w:left w:val="single" w:color="auto" w:sz="4" w:space="0"/>
              <w:right w:val="single" w:color="auto" w:sz="4" w:space="0"/>
            </w:tcBorders>
            <w:vAlign w:val="center"/>
          </w:tcPr>
          <w:p>
            <w:pPr>
              <w:pStyle w:val="183"/>
              <w:spacing w:line="360" w:lineRule="auto"/>
              <w:ind w:left="21" w:right="22"/>
              <w:jc w:val="center"/>
              <w:rPr>
                <w:color w:val="auto"/>
                <w:sz w:val="21"/>
                <w:szCs w:val="21"/>
                <w:highlight w:val="none"/>
              </w:rPr>
            </w:pPr>
            <w:r>
              <w:rPr>
                <w:rFonts w:ascii="宋体" w:hAnsi="宋体" w:cs="宋体"/>
                <w:color w:val="auto"/>
                <w:spacing w:val="-4"/>
                <w:sz w:val="21"/>
                <w:szCs w:val="21"/>
                <w:highlight w:val="none"/>
              </w:rPr>
              <w:t>重点、难点的分析和对</w:t>
            </w:r>
            <w:r>
              <w:rPr>
                <w:rFonts w:ascii="宋体" w:hAnsi="宋体" w:cs="宋体"/>
                <w:color w:val="auto"/>
                <w:sz w:val="21"/>
                <w:szCs w:val="21"/>
                <w:highlight w:val="none"/>
              </w:rPr>
              <w:t>策</w:t>
            </w:r>
          </w:p>
        </w:tc>
        <w:tc>
          <w:tcPr>
            <w:tcW w:w="863" w:type="dxa"/>
            <w:tcBorders>
              <w:top w:val="single" w:color="auto" w:sz="4" w:space="0"/>
              <w:left w:val="single" w:color="auto" w:sz="4" w:space="0"/>
              <w:right w:val="single" w:color="auto" w:sz="4" w:space="0"/>
            </w:tcBorders>
            <w:vAlign w:val="center"/>
          </w:tcPr>
          <w:p>
            <w:pPr>
              <w:pStyle w:val="183"/>
              <w:spacing w:line="360" w:lineRule="auto"/>
              <w:jc w:val="center"/>
              <w:rPr>
                <w:rFonts w:ascii="宋体"/>
                <w:color w:val="auto"/>
                <w:sz w:val="21"/>
                <w:szCs w:val="21"/>
                <w:highlight w:val="none"/>
              </w:rPr>
            </w:pPr>
            <w:r>
              <w:rPr>
                <w:rFonts w:hint="eastAsia" w:ascii="宋体" w:hAnsi="宋体" w:cs="宋体"/>
                <w:color w:val="auto"/>
                <w:sz w:val="21"/>
                <w:szCs w:val="21"/>
                <w:highlight w:val="none"/>
              </w:rPr>
              <w:t>5</w:t>
            </w:r>
          </w:p>
        </w:tc>
        <w:tc>
          <w:tcPr>
            <w:tcW w:w="5724" w:type="dxa"/>
            <w:tcBorders>
              <w:top w:val="single" w:color="auto" w:sz="4" w:space="0"/>
              <w:left w:val="single" w:color="auto" w:sz="4" w:space="0"/>
              <w:bottom w:val="single" w:color="auto" w:sz="4" w:space="0"/>
              <w:right w:val="single" w:color="auto" w:sz="4" w:space="0"/>
            </w:tcBorders>
            <w:vAlign w:val="center"/>
          </w:tcPr>
          <w:p>
            <w:pPr>
              <w:numPr>
                <w:ilvl w:val="0"/>
                <w:numId w:val="21"/>
              </w:numPr>
              <w:snapToGrid w:val="0"/>
              <w:spacing w:line="360" w:lineRule="auto"/>
              <w:rPr>
                <w:rFonts w:hAnsi="宋体"/>
                <w:color w:val="auto"/>
                <w:sz w:val="21"/>
                <w:szCs w:val="21"/>
                <w:highlight w:val="none"/>
              </w:rPr>
            </w:pPr>
            <w:r>
              <w:rPr>
                <w:rFonts w:hAnsi="宋体"/>
                <w:color w:val="auto"/>
                <w:sz w:val="21"/>
                <w:szCs w:val="21"/>
                <w:highlight w:val="none"/>
              </w:rPr>
              <w:t>能从项目需求、项目现场和周边环境等多方面影响困素中准确分析，项目重点和难点内容把握全面到位，针对问题提出有效措施与处理方案且操作性有效合理可行的得</w:t>
            </w:r>
            <w:r>
              <w:rPr>
                <w:rFonts w:hint="eastAsia"/>
                <w:color w:val="auto"/>
                <w:sz w:val="21"/>
                <w:szCs w:val="21"/>
                <w:highlight w:val="none"/>
              </w:rPr>
              <w:t>5</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Ansi="宋体"/>
                <w:color w:val="auto"/>
                <w:sz w:val="21"/>
                <w:szCs w:val="21"/>
                <w:highlight w:val="none"/>
              </w:rPr>
              <w:t>2.结合项目需求和实际，同时还能结合项目现场及周边环境，提供合理且有针对性项目重点和难点，并附有有效的管理方案与措施建议的得</w:t>
            </w:r>
            <w:r>
              <w:rPr>
                <w:rFonts w:hint="eastAsia"/>
                <w:color w:val="auto"/>
                <w:sz w:val="21"/>
                <w:szCs w:val="21"/>
                <w:highlight w:val="none"/>
              </w:rPr>
              <w:t>3</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Ansi="宋体"/>
                <w:color w:val="auto"/>
                <w:sz w:val="21"/>
                <w:szCs w:val="21"/>
                <w:highlight w:val="none"/>
              </w:rPr>
              <w:t>3.结合项目需求，分析项目服务的特点及实际情况，能合理提出部分重点和难点，并有相应针对性的要点管理和合理化措施建议的得</w:t>
            </w:r>
            <w:r>
              <w:rPr>
                <w:rFonts w:hint="eastAsia"/>
                <w:color w:val="auto"/>
                <w:sz w:val="21"/>
                <w:szCs w:val="21"/>
                <w:highlight w:val="none"/>
              </w:rPr>
              <w:t>1</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int="eastAsia" w:hAnsi="宋体"/>
                <w:color w:val="auto"/>
                <w:sz w:val="21"/>
                <w:szCs w:val="21"/>
                <w:highlight w:val="none"/>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24" w:type="dxa"/>
            <w:tcBorders>
              <w:left w:val="single" w:color="auto" w:sz="4" w:space="0"/>
              <w:bottom w:val="single" w:color="auto" w:sz="4" w:space="0"/>
              <w:right w:val="single" w:color="auto" w:sz="4" w:space="0"/>
            </w:tcBorders>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3</w:t>
            </w:r>
          </w:p>
        </w:tc>
        <w:tc>
          <w:tcPr>
            <w:tcW w:w="1620" w:type="dxa"/>
            <w:gridSpan w:val="2"/>
            <w:tcBorders>
              <w:left w:val="single" w:color="auto" w:sz="4" w:space="0"/>
              <w:bottom w:val="single" w:color="auto" w:sz="4" w:space="0"/>
              <w:right w:val="single" w:color="auto" w:sz="4" w:space="0"/>
            </w:tcBorders>
            <w:vAlign w:val="center"/>
          </w:tcPr>
          <w:p>
            <w:pPr>
              <w:pStyle w:val="183"/>
              <w:spacing w:line="360" w:lineRule="auto"/>
              <w:ind w:left="21" w:right="22"/>
              <w:jc w:val="center"/>
              <w:rPr>
                <w:color w:val="auto"/>
                <w:sz w:val="21"/>
                <w:szCs w:val="21"/>
                <w:highlight w:val="none"/>
              </w:rPr>
            </w:pPr>
            <w:r>
              <w:rPr>
                <w:rFonts w:ascii="宋体" w:hAnsi="宋体" w:cs="宋体"/>
                <w:color w:val="auto"/>
                <w:sz w:val="21"/>
                <w:szCs w:val="21"/>
                <w:highlight w:val="none"/>
              </w:rPr>
              <w:t>物业管理服务实施方案</w:t>
            </w:r>
          </w:p>
        </w:tc>
        <w:tc>
          <w:tcPr>
            <w:tcW w:w="863" w:type="dxa"/>
            <w:tcBorders>
              <w:left w:val="single" w:color="auto" w:sz="4" w:space="0"/>
              <w:bottom w:val="single" w:color="auto" w:sz="4" w:space="0"/>
              <w:right w:val="single" w:color="auto" w:sz="4" w:space="0"/>
            </w:tcBorders>
            <w:vAlign w:val="center"/>
          </w:tcPr>
          <w:p>
            <w:pPr>
              <w:pStyle w:val="183"/>
              <w:spacing w:line="360" w:lineRule="auto"/>
              <w:ind w:left="21" w:right="22"/>
              <w:jc w:val="center"/>
              <w:rPr>
                <w:color w:val="auto"/>
                <w:sz w:val="21"/>
                <w:szCs w:val="21"/>
                <w:highlight w:val="none"/>
              </w:rPr>
            </w:pPr>
            <w:r>
              <w:rPr>
                <w:rFonts w:hint="eastAsia" w:ascii="宋体" w:hAnsi="宋体" w:cs="宋体"/>
                <w:color w:val="auto"/>
                <w:sz w:val="21"/>
                <w:szCs w:val="21"/>
                <w:highlight w:val="none"/>
              </w:rPr>
              <w:t>8</w:t>
            </w:r>
          </w:p>
        </w:tc>
        <w:tc>
          <w:tcPr>
            <w:tcW w:w="5724" w:type="dxa"/>
            <w:tcBorders>
              <w:top w:val="single" w:color="auto" w:sz="4" w:space="0"/>
              <w:left w:val="single" w:color="auto" w:sz="4" w:space="0"/>
              <w:bottom w:val="single" w:color="auto" w:sz="4" w:space="0"/>
              <w:right w:val="single" w:color="auto" w:sz="4" w:space="0"/>
            </w:tcBorders>
            <w:vAlign w:val="center"/>
          </w:tcPr>
          <w:p>
            <w:pPr>
              <w:numPr>
                <w:ilvl w:val="0"/>
                <w:numId w:val="22"/>
              </w:numPr>
              <w:snapToGrid w:val="0"/>
              <w:spacing w:line="360" w:lineRule="auto"/>
              <w:rPr>
                <w:rFonts w:hAnsi="宋体"/>
                <w:color w:val="auto"/>
                <w:sz w:val="21"/>
                <w:szCs w:val="21"/>
                <w:highlight w:val="none"/>
              </w:rPr>
            </w:pPr>
            <w:r>
              <w:rPr>
                <w:rFonts w:hint="eastAsia" w:hAnsi="宋体"/>
                <w:color w:val="auto"/>
                <w:sz w:val="21"/>
                <w:szCs w:val="21"/>
                <w:highlight w:val="none"/>
              </w:rPr>
              <w:t>供应商</w:t>
            </w:r>
            <w:r>
              <w:rPr>
                <w:rFonts w:hAnsi="宋体"/>
                <w:color w:val="auto"/>
                <w:sz w:val="21"/>
                <w:szCs w:val="21"/>
                <w:highlight w:val="none"/>
              </w:rPr>
              <w:t>就项目设备设施、清洁绿化、安保、车辆、人员配备等各内容提出的物业服务管理方案与实施措施完善全面，同时还能针对项目需求提供优化性方案与特色服务且建议有效可行的得</w:t>
            </w:r>
            <w:r>
              <w:rPr>
                <w:rFonts w:hint="eastAsia"/>
                <w:color w:val="auto"/>
                <w:sz w:val="21"/>
                <w:szCs w:val="21"/>
                <w:highlight w:val="none"/>
              </w:rPr>
              <w:t>8</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供应商</w:t>
            </w:r>
            <w:r>
              <w:rPr>
                <w:rFonts w:hAnsi="宋体"/>
                <w:color w:val="auto"/>
                <w:sz w:val="21"/>
                <w:szCs w:val="21"/>
                <w:highlight w:val="none"/>
              </w:rPr>
              <w:t>就项目设备设施、清洁绿化、安保、车辆、人员配备等各内容提出的物业服务管理方案与实施措施，方案措施能响应项目实际与需求，内容较完整可行的得</w:t>
            </w:r>
            <w:r>
              <w:rPr>
                <w:rFonts w:hint="eastAsia"/>
                <w:color w:val="auto"/>
                <w:sz w:val="21"/>
                <w:szCs w:val="21"/>
                <w:highlight w:val="none"/>
              </w:rPr>
              <w:t>5</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供应商</w:t>
            </w:r>
            <w:r>
              <w:rPr>
                <w:rFonts w:hAnsi="宋体"/>
                <w:color w:val="auto"/>
                <w:sz w:val="21"/>
                <w:szCs w:val="21"/>
                <w:highlight w:val="none"/>
              </w:rPr>
              <w:t>就项目设备设施、清洁绿化、安保、车辆、人员配备等各内容提出的物业服务管理方案与实施措施，方案措施较简单或不完善，实施操作可行性较为一般的得</w:t>
            </w:r>
            <w:r>
              <w:rPr>
                <w:rFonts w:hint="eastAsia"/>
                <w:color w:val="auto"/>
                <w:sz w:val="21"/>
                <w:szCs w:val="21"/>
                <w:highlight w:val="none"/>
              </w:rPr>
              <w:t>1</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int="eastAsia" w:hAnsi="宋体"/>
                <w:color w:val="auto"/>
                <w:sz w:val="21"/>
                <w:szCs w:val="21"/>
                <w:highlight w:val="none"/>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dxa"/>
            <w:tcBorders>
              <w:left w:val="single" w:color="auto" w:sz="4" w:space="0"/>
              <w:bottom w:val="single" w:color="auto" w:sz="4" w:space="0"/>
              <w:right w:val="single" w:color="auto" w:sz="4" w:space="0"/>
            </w:tcBorders>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4</w:t>
            </w:r>
          </w:p>
        </w:tc>
        <w:tc>
          <w:tcPr>
            <w:tcW w:w="1620" w:type="dxa"/>
            <w:gridSpan w:val="2"/>
            <w:tcBorders>
              <w:left w:val="single" w:color="auto" w:sz="4" w:space="0"/>
              <w:bottom w:val="single" w:color="auto" w:sz="4" w:space="0"/>
              <w:right w:val="single" w:color="auto" w:sz="4" w:space="0"/>
            </w:tcBorders>
            <w:vAlign w:val="center"/>
          </w:tcPr>
          <w:p>
            <w:pPr>
              <w:pStyle w:val="183"/>
              <w:spacing w:line="360" w:lineRule="auto"/>
              <w:ind w:left="21" w:right="22"/>
              <w:jc w:val="center"/>
              <w:rPr>
                <w:color w:val="auto"/>
                <w:sz w:val="21"/>
                <w:szCs w:val="21"/>
                <w:highlight w:val="none"/>
              </w:rPr>
            </w:pPr>
            <w:r>
              <w:rPr>
                <w:rFonts w:ascii="宋体" w:hAnsi="宋体" w:cs="宋体"/>
                <w:color w:val="auto"/>
                <w:sz w:val="21"/>
                <w:szCs w:val="21"/>
                <w:highlight w:val="none"/>
              </w:rPr>
              <w:t>人员培训、录用及考核方案</w:t>
            </w:r>
          </w:p>
        </w:tc>
        <w:tc>
          <w:tcPr>
            <w:tcW w:w="863" w:type="dxa"/>
            <w:tcBorders>
              <w:left w:val="single" w:color="auto" w:sz="4" w:space="0"/>
              <w:bottom w:val="single" w:color="auto" w:sz="4" w:space="0"/>
              <w:right w:val="single" w:color="auto" w:sz="4" w:space="0"/>
            </w:tcBorders>
            <w:vAlign w:val="center"/>
          </w:tcPr>
          <w:p>
            <w:pPr>
              <w:pStyle w:val="183"/>
              <w:spacing w:line="360" w:lineRule="auto"/>
              <w:jc w:val="center"/>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供应商</w:t>
            </w:r>
            <w:r>
              <w:rPr>
                <w:rFonts w:hAnsi="宋体"/>
                <w:color w:val="auto"/>
                <w:sz w:val="21"/>
                <w:szCs w:val="21"/>
                <w:highlight w:val="none"/>
              </w:rPr>
              <w:t>配置本项目的各类人员培训计划、方式及行为规范培训，员工录用与考核淘汰机制、协调关系、服务意识等方案详细完善有特色，既符合行业管理规范也明显体现本项目类型与特色，能有效促进项目管理的得</w:t>
            </w:r>
            <w:r>
              <w:rPr>
                <w:rFonts w:hint="eastAsia" w:hAnsi="宋体"/>
                <w:color w:val="auto"/>
                <w:sz w:val="21"/>
                <w:szCs w:val="21"/>
                <w:highlight w:val="none"/>
                <w:lang w:val="en-US" w:eastAsia="zh-CN"/>
              </w:rPr>
              <w:t>5</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供应商</w:t>
            </w:r>
            <w:r>
              <w:rPr>
                <w:rFonts w:hAnsi="宋体"/>
                <w:color w:val="auto"/>
                <w:sz w:val="21"/>
                <w:szCs w:val="21"/>
                <w:highlight w:val="none"/>
              </w:rPr>
              <w:t>配置本项目的各类人员培训计划、方式及行为规范培训，员工录用与考核淘汰机制、协调关系、服务意识等方案合理完善，符合行业管理规范，适用于本项目的得</w:t>
            </w:r>
            <w:r>
              <w:rPr>
                <w:rFonts w:hint="eastAsia" w:hAnsi="宋体"/>
                <w:color w:val="auto"/>
                <w:sz w:val="21"/>
                <w:szCs w:val="21"/>
                <w:highlight w:val="none"/>
                <w:lang w:val="en-US" w:eastAsia="zh-CN"/>
              </w:rPr>
              <w:t>3</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供应商</w:t>
            </w:r>
            <w:r>
              <w:rPr>
                <w:rFonts w:hAnsi="宋体"/>
                <w:color w:val="auto"/>
                <w:sz w:val="21"/>
                <w:szCs w:val="21"/>
                <w:highlight w:val="none"/>
              </w:rPr>
              <w:t>配置本项目的各类人员培训计划、方式及行为规范培训，员工录用与考核淘汰机制、协调关系、服务意识等方案针对性不强，项目实施过程中，方案较为通用、操作性一般得</w:t>
            </w:r>
            <w:r>
              <w:rPr>
                <w:rFonts w:hint="eastAsia" w:hAnsi="宋体"/>
                <w:color w:val="auto"/>
                <w:sz w:val="21"/>
                <w:szCs w:val="21"/>
                <w:highlight w:val="none"/>
                <w:lang w:val="en-US" w:eastAsia="zh-CN"/>
              </w:rPr>
              <w:t>1</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int="eastAsia" w:hAnsi="宋体"/>
                <w:color w:val="auto"/>
                <w:sz w:val="21"/>
                <w:szCs w:val="21"/>
                <w:highlight w:val="none"/>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24" w:type="dxa"/>
            <w:tcBorders>
              <w:left w:val="single" w:color="auto" w:sz="4" w:space="0"/>
              <w:right w:val="single" w:color="auto" w:sz="4" w:space="0"/>
            </w:tcBorders>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5</w:t>
            </w:r>
          </w:p>
        </w:tc>
        <w:tc>
          <w:tcPr>
            <w:tcW w:w="1620" w:type="dxa"/>
            <w:gridSpan w:val="2"/>
            <w:tcBorders>
              <w:left w:val="single" w:color="auto" w:sz="4" w:space="0"/>
              <w:right w:val="single" w:color="auto" w:sz="4" w:space="0"/>
            </w:tcBorders>
            <w:vAlign w:val="center"/>
          </w:tcPr>
          <w:p>
            <w:pPr>
              <w:pStyle w:val="183"/>
              <w:spacing w:line="360" w:lineRule="auto"/>
              <w:jc w:val="center"/>
              <w:rPr>
                <w:rFonts w:hAnsi="宋体"/>
                <w:color w:val="auto"/>
                <w:sz w:val="21"/>
                <w:szCs w:val="21"/>
                <w:highlight w:val="none"/>
              </w:rPr>
            </w:pPr>
            <w:r>
              <w:rPr>
                <w:rFonts w:ascii="宋体" w:hAnsi="宋体" w:cs="宋体"/>
                <w:color w:val="auto"/>
                <w:sz w:val="21"/>
                <w:szCs w:val="21"/>
                <w:highlight w:val="none"/>
              </w:rPr>
              <w:t>应急事件预案及处理</w:t>
            </w:r>
          </w:p>
        </w:tc>
        <w:tc>
          <w:tcPr>
            <w:tcW w:w="863" w:type="dxa"/>
            <w:tcBorders>
              <w:left w:val="single" w:color="auto" w:sz="4" w:space="0"/>
              <w:right w:val="single" w:color="auto" w:sz="4" w:space="0"/>
            </w:tcBorders>
            <w:vAlign w:val="center"/>
          </w:tcPr>
          <w:p>
            <w:pPr>
              <w:pStyle w:val="183"/>
              <w:spacing w:line="360" w:lineRule="auto"/>
              <w:jc w:val="center"/>
              <w:rPr>
                <w:color w:val="auto"/>
                <w:sz w:val="21"/>
                <w:szCs w:val="21"/>
                <w:highlight w:val="none"/>
              </w:rPr>
            </w:pPr>
            <w:r>
              <w:rPr>
                <w:rFonts w:hint="eastAsia" w:ascii="宋体" w:hAnsi="宋体" w:cs="宋体"/>
                <w:color w:val="auto"/>
                <w:sz w:val="21"/>
                <w:szCs w:val="21"/>
                <w:highlight w:val="none"/>
              </w:rPr>
              <w:t>5</w:t>
            </w:r>
          </w:p>
        </w:tc>
        <w:tc>
          <w:tcPr>
            <w:tcW w:w="5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color w:val="auto"/>
                <w:sz w:val="21"/>
                <w:szCs w:val="21"/>
                <w:highlight w:val="none"/>
              </w:rPr>
            </w:pPr>
            <w:r>
              <w:rPr>
                <w:rFonts w:hAnsi="宋体"/>
                <w:color w:val="auto"/>
                <w:sz w:val="21"/>
                <w:szCs w:val="21"/>
                <w:highlight w:val="none"/>
              </w:rPr>
              <w:t>1. 针对项目类型与特色，能提出应急事性、突发事故的成因及预防方案且应急事件预案及处理措施全面详细、有明显针对性、在管理中有实际操作可行性的</w:t>
            </w:r>
            <w:r>
              <w:rPr>
                <w:rFonts w:hint="eastAsia" w:hAnsi="宋体"/>
                <w:color w:val="auto"/>
                <w:sz w:val="21"/>
                <w:szCs w:val="21"/>
                <w:highlight w:val="none"/>
              </w:rPr>
              <w:t>5</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Ansi="宋体"/>
                <w:color w:val="auto"/>
                <w:sz w:val="21"/>
                <w:szCs w:val="21"/>
                <w:highlight w:val="none"/>
              </w:rPr>
              <w:t>2. 能结合物业管理项目能分析应急事性、突发事故的成因，提出各类应急事件预案及处理措施且内容合理完善、全面可行的得</w:t>
            </w:r>
            <w:r>
              <w:rPr>
                <w:rFonts w:hint="eastAsia" w:hAnsi="宋体"/>
                <w:color w:val="auto"/>
                <w:sz w:val="21"/>
                <w:szCs w:val="21"/>
                <w:highlight w:val="none"/>
              </w:rPr>
              <w:t>3</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Ansi="宋体"/>
                <w:color w:val="auto"/>
                <w:sz w:val="21"/>
                <w:szCs w:val="21"/>
                <w:highlight w:val="none"/>
              </w:rPr>
              <w:t>3. 能结合物业管理项目提出各类应急事件预案及处理措施，且完善齐全的得</w:t>
            </w:r>
            <w:r>
              <w:rPr>
                <w:rFonts w:hint="eastAsia" w:hAnsi="宋体"/>
                <w:color w:val="auto"/>
                <w:sz w:val="21"/>
                <w:szCs w:val="21"/>
                <w:highlight w:val="none"/>
              </w:rPr>
              <w:t>1</w:t>
            </w:r>
            <w:r>
              <w:rPr>
                <w:rFonts w:hAnsi="宋体"/>
                <w:color w:val="auto"/>
                <w:sz w:val="21"/>
                <w:szCs w:val="21"/>
                <w:highlight w:val="none"/>
              </w:rPr>
              <w:t>分；</w:t>
            </w:r>
            <w:r>
              <w:rPr>
                <w:rFonts w:hint="eastAsia" w:hAnsi="宋体"/>
                <w:color w:val="auto"/>
                <w:sz w:val="21"/>
                <w:szCs w:val="21"/>
                <w:highlight w:val="none"/>
              </w:rPr>
              <w:t>、</w:t>
            </w:r>
          </w:p>
          <w:p>
            <w:pPr>
              <w:snapToGrid w:val="0"/>
              <w:spacing w:line="360" w:lineRule="auto"/>
              <w:rPr>
                <w:rFonts w:hAnsi="宋体"/>
                <w:color w:val="auto"/>
                <w:sz w:val="21"/>
                <w:szCs w:val="21"/>
                <w:highlight w:val="none"/>
              </w:rPr>
            </w:pPr>
            <w:r>
              <w:rPr>
                <w:rFonts w:hint="eastAsia" w:hAnsi="宋体"/>
                <w:color w:val="auto"/>
                <w:sz w:val="21"/>
                <w:szCs w:val="21"/>
                <w:highlight w:val="none"/>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24" w:type="dxa"/>
            <w:tcBorders>
              <w:left w:val="single" w:color="auto" w:sz="4" w:space="0"/>
              <w:right w:val="single" w:color="auto" w:sz="4" w:space="0"/>
            </w:tcBorders>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6</w:t>
            </w:r>
          </w:p>
        </w:tc>
        <w:tc>
          <w:tcPr>
            <w:tcW w:w="1620" w:type="dxa"/>
            <w:gridSpan w:val="2"/>
            <w:tcBorders>
              <w:left w:val="single" w:color="auto" w:sz="4" w:space="0"/>
              <w:right w:val="single" w:color="auto" w:sz="4" w:space="0"/>
            </w:tcBorders>
            <w:vAlign w:val="center"/>
          </w:tcPr>
          <w:p>
            <w:pPr>
              <w:pStyle w:val="183"/>
              <w:spacing w:line="360" w:lineRule="auto"/>
              <w:jc w:val="center"/>
              <w:rPr>
                <w:rFonts w:hAnsi="宋体"/>
                <w:color w:val="auto"/>
                <w:sz w:val="21"/>
                <w:szCs w:val="21"/>
                <w:highlight w:val="none"/>
              </w:rPr>
            </w:pPr>
            <w:r>
              <w:rPr>
                <w:rFonts w:ascii="宋体" w:hAnsi="宋体" w:cs="宋体"/>
                <w:color w:val="auto"/>
                <w:sz w:val="21"/>
                <w:szCs w:val="21"/>
                <w:highlight w:val="none"/>
              </w:rPr>
              <w:t>管理服务各项质量指标</w:t>
            </w:r>
          </w:p>
        </w:tc>
        <w:tc>
          <w:tcPr>
            <w:tcW w:w="863" w:type="dxa"/>
            <w:tcBorders>
              <w:left w:val="single" w:color="auto" w:sz="4" w:space="0"/>
              <w:right w:val="single" w:color="auto" w:sz="4" w:space="0"/>
            </w:tcBorders>
            <w:vAlign w:val="center"/>
          </w:tcPr>
          <w:p>
            <w:pPr>
              <w:pStyle w:val="183"/>
              <w:spacing w:line="360" w:lineRule="auto"/>
              <w:ind w:left="22" w:right="154"/>
              <w:jc w:val="center"/>
              <w:rPr>
                <w:rFonts w:hAnsi="宋体"/>
                <w:color w:val="auto"/>
                <w:sz w:val="21"/>
                <w:szCs w:val="21"/>
                <w:highlight w:val="none"/>
              </w:rPr>
            </w:pPr>
            <w:r>
              <w:rPr>
                <w:rFonts w:hint="eastAsia" w:ascii="宋体" w:hAnsi="宋体" w:cs="宋体"/>
                <w:color w:val="auto"/>
                <w:sz w:val="21"/>
                <w:szCs w:val="21"/>
                <w:highlight w:val="none"/>
              </w:rPr>
              <w:t>4</w:t>
            </w:r>
          </w:p>
        </w:tc>
        <w:tc>
          <w:tcPr>
            <w:tcW w:w="5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color w:val="auto"/>
                <w:sz w:val="21"/>
                <w:szCs w:val="21"/>
                <w:highlight w:val="none"/>
              </w:rPr>
            </w:pPr>
            <w:r>
              <w:rPr>
                <w:rFonts w:hAnsi="宋体"/>
                <w:color w:val="auto"/>
                <w:sz w:val="21"/>
                <w:szCs w:val="21"/>
                <w:highlight w:val="none"/>
              </w:rPr>
              <w:t>1.对项目需求的质量保证、服务承诺响应程度标准高的</w:t>
            </w:r>
            <w:r>
              <w:rPr>
                <w:rFonts w:hint="eastAsia" w:hAnsi="宋体"/>
                <w:color w:val="auto"/>
                <w:sz w:val="21"/>
                <w:szCs w:val="21"/>
                <w:highlight w:val="none"/>
              </w:rPr>
              <w:t>得4</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Ansi="宋体"/>
                <w:color w:val="auto"/>
                <w:sz w:val="21"/>
                <w:szCs w:val="21"/>
                <w:highlight w:val="none"/>
              </w:rPr>
              <w:t>2.对项目需求的质量保证、服务承诺响应程度一般的</w:t>
            </w:r>
            <w:r>
              <w:rPr>
                <w:rFonts w:hint="eastAsia" w:hAnsi="宋体"/>
                <w:color w:val="auto"/>
                <w:sz w:val="21"/>
                <w:szCs w:val="21"/>
                <w:highlight w:val="none"/>
              </w:rPr>
              <w:t>得2</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Ansi="宋体"/>
                <w:color w:val="auto"/>
                <w:sz w:val="21"/>
                <w:szCs w:val="21"/>
                <w:highlight w:val="none"/>
              </w:rPr>
              <w:t>3.对项目需求的质量保证、服务承诺响应程度标准低的</w:t>
            </w:r>
            <w:r>
              <w:rPr>
                <w:rFonts w:hint="eastAsia" w:hAnsi="宋体"/>
                <w:color w:val="auto"/>
                <w:sz w:val="21"/>
                <w:szCs w:val="21"/>
                <w:highlight w:val="none"/>
              </w:rPr>
              <w:t>得1</w:t>
            </w:r>
            <w:r>
              <w:rPr>
                <w:rFonts w:hAnsi="宋体"/>
                <w:color w:val="auto"/>
                <w:sz w:val="21"/>
                <w:szCs w:val="21"/>
                <w:highlight w:val="none"/>
              </w:rPr>
              <w:t>分；</w:t>
            </w:r>
          </w:p>
          <w:p>
            <w:pPr>
              <w:snapToGrid w:val="0"/>
              <w:spacing w:line="360" w:lineRule="auto"/>
              <w:rPr>
                <w:rFonts w:hAnsi="宋体"/>
                <w:color w:val="auto"/>
                <w:sz w:val="21"/>
                <w:szCs w:val="21"/>
                <w:highlight w:val="none"/>
              </w:rPr>
            </w:pPr>
            <w:r>
              <w:rPr>
                <w:rFonts w:hint="eastAsia" w:hAnsi="宋体"/>
                <w:color w:val="auto"/>
                <w:sz w:val="21"/>
                <w:szCs w:val="21"/>
                <w:highlight w:val="none"/>
              </w:rPr>
              <w:t>无提供不得分。</w:t>
            </w:r>
          </w:p>
        </w:tc>
      </w:tr>
    </w:tbl>
    <w:p>
      <w:pPr>
        <w:widowControl/>
        <w:tabs>
          <w:tab w:val="left" w:pos="907"/>
        </w:tabs>
        <w:snapToGrid w:val="0"/>
        <w:spacing w:line="360" w:lineRule="auto"/>
        <w:rPr>
          <w:rFonts w:hAnsi="宋体"/>
          <w:bCs/>
          <w:color w:val="auto"/>
          <w:sz w:val="21"/>
          <w:szCs w:val="21"/>
          <w:highlight w:val="none"/>
        </w:rPr>
      </w:pPr>
      <w:r>
        <w:rPr>
          <w:rFonts w:hint="eastAsia" w:hAnsi="宋体"/>
          <w:bCs/>
          <w:color w:val="auto"/>
          <w:sz w:val="21"/>
          <w:szCs w:val="21"/>
          <w:highlight w:val="none"/>
        </w:rPr>
        <w:t>注：</w:t>
      </w:r>
    </w:p>
    <w:p>
      <w:pPr>
        <w:widowControl/>
        <w:tabs>
          <w:tab w:val="left" w:pos="907"/>
        </w:tabs>
        <w:snapToGrid w:val="0"/>
        <w:spacing w:line="360" w:lineRule="auto"/>
        <w:rPr>
          <w:rFonts w:hAnsi="宋体"/>
          <w:bCs/>
          <w:color w:val="auto"/>
          <w:sz w:val="21"/>
          <w:szCs w:val="21"/>
          <w:highlight w:val="none"/>
        </w:rPr>
      </w:pPr>
      <w:r>
        <w:rPr>
          <w:rFonts w:hint="eastAsia" w:hAnsi="宋体"/>
          <w:bCs/>
          <w:color w:val="auto"/>
          <w:sz w:val="21"/>
          <w:szCs w:val="21"/>
          <w:highlight w:val="none"/>
        </w:rPr>
        <w:t>（1）上证明文件均提供加盖公章复印件。</w:t>
      </w:r>
    </w:p>
    <w:p>
      <w:pPr>
        <w:widowControl/>
        <w:tabs>
          <w:tab w:val="left" w:pos="907"/>
        </w:tabs>
        <w:snapToGrid w:val="0"/>
        <w:spacing w:line="360" w:lineRule="auto"/>
        <w:rPr>
          <w:rFonts w:hAnsi="宋体"/>
          <w:bCs/>
          <w:color w:val="auto"/>
          <w:sz w:val="21"/>
          <w:szCs w:val="21"/>
          <w:highlight w:val="none"/>
        </w:rPr>
      </w:pPr>
      <w:r>
        <w:rPr>
          <w:rFonts w:hint="eastAsia" w:hAnsi="宋体"/>
          <w:bCs/>
          <w:color w:val="auto"/>
          <w:sz w:val="21"/>
          <w:szCs w:val="21"/>
          <w:highlight w:val="none"/>
        </w:rPr>
        <w:t>（2）若开标当日评标委员会需要查看以上证明文件原件，供应商请在接到通知后一个小时内携带原件到达评标会场，接受核查，如因迟到或是其他原因不能携原件到达现场接受检查，其造成的所有后果供应商自行承担。</w:t>
      </w:r>
    </w:p>
    <w:p>
      <w:pPr>
        <w:widowControl/>
        <w:spacing w:line="360" w:lineRule="auto"/>
        <w:rPr>
          <w:rFonts w:hAnsi="宋体"/>
          <w:bCs/>
          <w:color w:val="auto"/>
          <w:sz w:val="21"/>
          <w:szCs w:val="21"/>
          <w:highlight w:val="none"/>
        </w:rPr>
      </w:pPr>
      <w:r>
        <w:rPr>
          <w:rFonts w:hint="eastAsia" w:hAnsi="宋体"/>
          <w:bCs/>
          <w:color w:val="auto"/>
          <w:sz w:val="21"/>
          <w:szCs w:val="21"/>
          <w:highlight w:val="none"/>
        </w:rPr>
        <w:t>（3）若中标将在发放成交通知书前逐一核对核查原件，请勿提供虚假、过期材料，否则将依据相关规定严肃处理。</w:t>
      </w:r>
    </w:p>
    <w:p>
      <w:pPr>
        <w:pStyle w:val="28"/>
        <w:spacing w:line="360" w:lineRule="auto"/>
        <w:ind w:firstLine="422" w:firstLineChars="200"/>
        <w:rPr>
          <w:rFonts w:hAnsi="宋体"/>
          <w:b/>
          <w:color w:val="auto"/>
          <w:szCs w:val="21"/>
          <w:highlight w:val="none"/>
        </w:rPr>
      </w:pPr>
    </w:p>
    <w:p>
      <w:pPr>
        <w:pStyle w:val="28"/>
        <w:spacing w:line="360" w:lineRule="auto"/>
        <w:ind w:firstLine="422" w:firstLineChars="200"/>
        <w:rPr>
          <w:rFonts w:hAnsi="宋体"/>
          <w:b/>
          <w:color w:val="auto"/>
          <w:szCs w:val="21"/>
          <w:highlight w:val="none"/>
        </w:rPr>
      </w:pPr>
      <w:r>
        <w:rPr>
          <w:rFonts w:hint="eastAsia" w:hAnsi="宋体"/>
          <w:b/>
          <w:color w:val="auto"/>
          <w:szCs w:val="21"/>
          <w:highlight w:val="none"/>
        </w:rPr>
        <w:t>四、技术评审</w:t>
      </w:r>
    </w:p>
    <w:p>
      <w:pPr>
        <w:spacing w:line="360" w:lineRule="auto"/>
        <w:ind w:firstLine="420" w:firstLineChars="200"/>
        <w:rPr>
          <w:rFonts w:hAnsi="宋体"/>
          <w:bCs/>
          <w:color w:val="auto"/>
          <w:sz w:val="21"/>
          <w:szCs w:val="21"/>
          <w:highlight w:val="none"/>
        </w:rPr>
      </w:pPr>
      <w:r>
        <w:rPr>
          <w:rFonts w:hint="eastAsia" w:hAnsi="宋体"/>
          <w:color w:val="auto"/>
          <w:sz w:val="21"/>
          <w:szCs w:val="21"/>
          <w:highlight w:val="none"/>
        </w:rPr>
        <w:t>1.由磋商小组对所有响应文件的技术部分响应和指标进行审核和分析；对响应文件中文字、图纸说明和指标响应进行评分，填写《技术评分表》。</w:t>
      </w:r>
    </w:p>
    <w:p>
      <w:pPr>
        <w:pStyle w:val="28"/>
        <w:spacing w:line="360" w:lineRule="auto"/>
        <w:ind w:firstLine="420" w:firstLineChars="200"/>
        <w:rPr>
          <w:rFonts w:hAnsi="宋体"/>
          <w:color w:val="auto"/>
          <w:szCs w:val="21"/>
          <w:highlight w:val="none"/>
        </w:rPr>
      </w:pPr>
      <w:r>
        <w:rPr>
          <w:rFonts w:hint="eastAsia" w:hAnsi="宋体"/>
          <w:color w:val="auto"/>
          <w:szCs w:val="21"/>
          <w:highlight w:val="none"/>
        </w:rPr>
        <w:t>2.将每一个磋商小组成员的评分汇总，取其算术平均值，为该供应商的技术评定得分。</w:t>
      </w:r>
    </w:p>
    <w:p>
      <w:pPr>
        <w:pStyle w:val="28"/>
        <w:spacing w:line="360" w:lineRule="auto"/>
        <w:ind w:firstLine="422" w:firstLineChars="200"/>
        <w:rPr>
          <w:rFonts w:hAnsi="宋体"/>
          <w:b/>
          <w:color w:val="auto"/>
          <w:szCs w:val="21"/>
          <w:highlight w:val="none"/>
        </w:rPr>
      </w:pPr>
    </w:p>
    <w:p>
      <w:pPr>
        <w:pStyle w:val="28"/>
        <w:spacing w:line="360" w:lineRule="auto"/>
        <w:ind w:firstLine="422" w:firstLineChars="200"/>
        <w:rPr>
          <w:rFonts w:hAnsi="宋体"/>
          <w:b/>
          <w:color w:val="auto"/>
          <w:szCs w:val="21"/>
          <w:highlight w:val="none"/>
        </w:rPr>
      </w:pPr>
      <w:r>
        <w:rPr>
          <w:rFonts w:hint="eastAsia" w:hAnsi="宋体"/>
          <w:b/>
          <w:color w:val="auto"/>
          <w:szCs w:val="21"/>
          <w:highlight w:val="none"/>
        </w:rPr>
        <w:t>五、商务评审</w:t>
      </w:r>
    </w:p>
    <w:p>
      <w:pPr>
        <w:pStyle w:val="28"/>
        <w:spacing w:line="360" w:lineRule="auto"/>
        <w:ind w:firstLine="420" w:firstLineChars="200"/>
        <w:rPr>
          <w:rFonts w:hAnsi="宋体"/>
          <w:color w:val="auto"/>
          <w:szCs w:val="21"/>
          <w:highlight w:val="none"/>
        </w:rPr>
      </w:pPr>
      <w:r>
        <w:rPr>
          <w:rFonts w:hint="eastAsia" w:hAnsi="宋体"/>
          <w:color w:val="auto"/>
          <w:szCs w:val="21"/>
          <w:highlight w:val="none"/>
        </w:rPr>
        <w:t>1.由磋商小组评价每个供应商的商务条件，填写《商务评分表》。</w:t>
      </w:r>
    </w:p>
    <w:p>
      <w:pPr>
        <w:pStyle w:val="28"/>
        <w:spacing w:line="360" w:lineRule="auto"/>
        <w:ind w:firstLine="420" w:firstLineChars="200"/>
        <w:rPr>
          <w:rFonts w:hAnsi="宋体"/>
          <w:color w:val="auto"/>
          <w:szCs w:val="21"/>
          <w:highlight w:val="none"/>
        </w:rPr>
      </w:pPr>
      <w:r>
        <w:rPr>
          <w:rFonts w:hint="eastAsia" w:hAnsi="宋体"/>
          <w:color w:val="auto"/>
          <w:szCs w:val="21"/>
          <w:highlight w:val="none"/>
        </w:rPr>
        <w:t>2.将每一个磋商小组成员的评分汇总，取其算术平均值，为该供应商的商务得分。</w:t>
      </w:r>
    </w:p>
    <w:p>
      <w:pPr>
        <w:pStyle w:val="28"/>
        <w:spacing w:line="360" w:lineRule="auto"/>
        <w:ind w:firstLine="422" w:firstLineChars="200"/>
        <w:rPr>
          <w:rFonts w:hAnsi="宋体"/>
          <w:b/>
          <w:color w:val="auto"/>
          <w:szCs w:val="21"/>
          <w:highlight w:val="none"/>
        </w:rPr>
      </w:pPr>
    </w:p>
    <w:p>
      <w:pPr>
        <w:pStyle w:val="28"/>
        <w:spacing w:line="360" w:lineRule="auto"/>
        <w:ind w:firstLine="422" w:firstLineChars="200"/>
        <w:rPr>
          <w:rFonts w:hAnsi="宋体"/>
          <w:b/>
          <w:color w:val="auto"/>
          <w:szCs w:val="21"/>
          <w:highlight w:val="none"/>
        </w:rPr>
      </w:pPr>
      <w:r>
        <w:rPr>
          <w:rFonts w:hint="eastAsia" w:hAnsi="宋体"/>
          <w:b/>
          <w:color w:val="auto"/>
          <w:szCs w:val="21"/>
          <w:highlight w:val="none"/>
        </w:rPr>
        <w:t>六、报价评审</w:t>
      </w:r>
    </w:p>
    <w:p>
      <w:pPr>
        <w:tabs>
          <w:tab w:val="left" w:pos="1365"/>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1.价格核准：磋商小组对有效供应商的详细报价进行复核，审查是否有计算上的错误或供货范围上的错误。对错误修正的原则如下：</w:t>
      </w:r>
    </w:p>
    <w:p>
      <w:pPr>
        <w:tabs>
          <w:tab w:val="left" w:pos="1365"/>
          <w:tab w:val="left" w:pos="1470"/>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1.1响应文件的大写金额和小写金额不一致的，以大写金额为准；</w:t>
      </w:r>
    </w:p>
    <w:p>
      <w:pPr>
        <w:tabs>
          <w:tab w:val="left" w:pos="1365"/>
          <w:tab w:val="left" w:pos="1470"/>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1.2当单价和数量的乘积与总价不一致时，以单价为准，并修正总价，但单价金额小数点有明显错误的除外；</w:t>
      </w:r>
    </w:p>
    <w:p>
      <w:pPr>
        <w:tabs>
          <w:tab w:val="left" w:pos="1365"/>
          <w:tab w:val="left" w:pos="1470"/>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1.3当分项之和与总价不一致时，以单价为准，并修正总价。</w:t>
      </w:r>
    </w:p>
    <w:p>
      <w:pPr>
        <w:tabs>
          <w:tab w:val="left" w:pos="1365"/>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2.价格评分：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将磋商小组修正后的入围供应商的磋商报价，以最后报价最低的供应商的价格为磋商基准价，定基准价的价格评分。其他磋商报价得分＝价格评分×(磋商基准价／最后磋商报价)。由此算出各供应商的报价得分。</w:t>
      </w:r>
    </w:p>
    <w:p>
      <w:pPr>
        <w:pStyle w:val="28"/>
        <w:tabs>
          <w:tab w:val="left" w:pos="1365"/>
        </w:tabs>
        <w:spacing w:line="360" w:lineRule="auto"/>
        <w:ind w:left="16" w:firstLine="422" w:firstLineChars="200"/>
        <w:rPr>
          <w:rFonts w:hAnsi="宋体"/>
          <w:b/>
          <w:color w:val="auto"/>
          <w:szCs w:val="21"/>
          <w:highlight w:val="none"/>
        </w:rPr>
      </w:pPr>
    </w:p>
    <w:p>
      <w:pPr>
        <w:pStyle w:val="28"/>
        <w:tabs>
          <w:tab w:val="left" w:pos="1365"/>
        </w:tabs>
        <w:spacing w:line="360" w:lineRule="auto"/>
        <w:ind w:left="16" w:firstLine="422" w:firstLineChars="200"/>
        <w:rPr>
          <w:rFonts w:hAnsi="宋体"/>
          <w:b/>
          <w:color w:val="auto"/>
          <w:szCs w:val="21"/>
          <w:highlight w:val="none"/>
        </w:rPr>
      </w:pPr>
      <w:r>
        <w:rPr>
          <w:rFonts w:hint="eastAsia" w:hAnsi="宋体"/>
          <w:b/>
          <w:color w:val="auto"/>
          <w:szCs w:val="21"/>
          <w:highlight w:val="none"/>
        </w:rPr>
        <w:t>七、综合得分的计算</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1.综合得分=技术评审得分+商务评审得分+磋商报价得分。</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将综合得分从高到低排出名次，总分第一名为第一成交候选供应商，第二名为第二成交候选供应商，第三名为第三成交候选供应商（综合得分相同的，按磋商报价得分顺序推荐；综合得分相同且磋商报价得分相同的，按技术得分顺序排列）。</w:t>
      </w:r>
    </w:p>
    <w:p>
      <w:pPr>
        <w:rPr>
          <w:color w:val="auto"/>
          <w:highlight w:val="none"/>
          <w:lang w:val="zh-CN"/>
        </w:rPr>
      </w:pPr>
    </w:p>
    <w:p>
      <w:pPr>
        <w:pStyle w:val="3"/>
        <w:keepNext/>
        <w:keepLines/>
        <w:pageBreakBefore/>
        <w:numPr>
          <w:ilvl w:val="0"/>
          <w:numId w:val="17"/>
        </w:numPr>
        <w:spacing w:line="360" w:lineRule="auto"/>
        <w:jc w:val="center"/>
        <w:rPr>
          <w:rFonts w:hAnsi="宋体"/>
          <w:b/>
          <w:bCs/>
          <w:color w:val="auto"/>
          <w:highlight w:val="none"/>
        </w:rPr>
      </w:pPr>
      <w:bookmarkStart w:id="147" w:name="_Toc15636"/>
      <w:r>
        <w:rPr>
          <w:rFonts w:hint="eastAsia" w:hAnsi="宋体"/>
          <w:b/>
          <w:bCs/>
          <w:color w:val="auto"/>
          <w:kern w:val="44"/>
          <w:sz w:val="28"/>
          <w:szCs w:val="28"/>
          <w:highlight w:val="none"/>
          <w:lang w:val="zh-CN"/>
        </w:rPr>
        <w:t>合同条款格式</w:t>
      </w:r>
      <w:bookmarkEnd w:id="147"/>
    </w:p>
    <w:p>
      <w:pPr>
        <w:rPr>
          <w:color w:val="auto"/>
          <w:highlight w:val="none"/>
        </w:rPr>
      </w:pPr>
    </w:p>
    <w:p>
      <w:pPr>
        <w:spacing w:line="400" w:lineRule="auto"/>
        <w:jc w:val="center"/>
        <w:rPr>
          <w:rFonts w:hint="eastAsia" w:eastAsia="宋体"/>
          <w:b/>
          <w:color w:val="auto"/>
          <w:sz w:val="32"/>
          <w:szCs w:val="32"/>
          <w:highlight w:val="none"/>
          <w:lang w:eastAsia="zh-CN"/>
        </w:rPr>
      </w:pPr>
      <w:r>
        <w:rPr>
          <w:rFonts w:hint="eastAsia"/>
          <w:b/>
          <w:color w:val="auto"/>
          <w:sz w:val="32"/>
          <w:szCs w:val="32"/>
          <w:highlight w:val="none"/>
        </w:rPr>
        <w:t>销售中心物业管理服务</w:t>
      </w:r>
      <w:r>
        <w:rPr>
          <w:rFonts w:hint="eastAsia"/>
          <w:b/>
          <w:color w:val="auto"/>
          <w:sz w:val="32"/>
          <w:szCs w:val="32"/>
          <w:highlight w:val="none"/>
          <w:lang w:eastAsia="zh-CN"/>
        </w:rPr>
        <w:t>合同</w:t>
      </w:r>
    </w:p>
    <w:p>
      <w:pPr>
        <w:spacing w:line="360" w:lineRule="auto"/>
        <w:rPr>
          <w:color w:val="auto"/>
          <w:sz w:val="21"/>
          <w:szCs w:val="21"/>
          <w:highlight w:val="none"/>
        </w:rPr>
      </w:pPr>
      <w:r>
        <w:rPr>
          <w:rFonts w:hint="eastAsia"/>
          <w:color w:val="auto"/>
          <w:sz w:val="21"/>
          <w:szCs w:val="21"/>
          <w:highlight w:val="none"/>
        </w:rPr>
        <w:t>甲方：（以下简称甲方）</w:t>
      </w:r>
    </w:p>
    <w:p>
      <w:pPr>
        <w:spacing w:line="360" w:lineRule="auto"/>
        <w:rPr>
          <w:color w:val="auto"/>
          <w:sz w:val="21"/>
          <w:szCs w:val="21"/>
          <w:highlight w:val="none"/>
        </w:rPr>
      </w:pPr>
      <w:r>
        <w:rPr>
          <w:rFonts w:hint="eastAsia"/>
          <w:color w:val="auto"/>
          <w:sz w:val="21"/>
          <w:szCs w:val="21"/>
          <w:highlight w:val="none"/>
        </w:rPr>
        <w:t>乙方：（以下简称乙方）</w:t>
      </w:r>
    </w:p>
    <w:p>
      <w:pPr>
        <w:spacing w:line="360" w:lineRule="auto"/>
        <w:rPr>
          <w:color w:val="auto"/>
          <w:sz w:val="21"/>
          <w:szCs w:val="21"/>
          <w:highlight w:val="none"/>
        </w:rPr>
      </w:pPr>
      <w:r>
        <w:rPr>
          <w:rFonts w:hint="eastAsia"/>
          <w:color w:val="auto"/>
          <w:sz w:val="21"/>
          <w:szCs w:val="21"/>
          <w:highlight w:val="none"/>
        </w:rPr>
        <w:t>物业名称：</w:t>
      </w:r>
    </w:p>
    <w:p>
      <w:pPr>
        <w:spacing w:line="360" w:lineRule="auto"/>
        <w:rPr>
          <w:color w:val="auto"/>
          <w:sz w:val="21"/>
          <w:szCs w:val="21"/>
          <w:highlight w:val="none"/>
        </w:rPr>
      </w:pPr>
      <w:r>
        <w:rPr>
          <w:rFonts w:hint="eastAsia"/>
          <w:color w:val="auto"/>
          <w:sz w:val="21"/>
          <w:szCs w:val="21"/>
          <w:highlight w:val="none"/>
        </w:rPr>
        <w:t>物业类型：</w:t>
      </w:r>
    </w:p>
    <w:p>
      <w:pPr>
        <w:spacing w:line="360" w:lineRule="auto"/>
        <w:rPr>
          <w:color w:val="auto"/>
          <w:sz w:val="21"/>
          <w:szCs w:val="21"/>
          <w:highlight w:val="none"/>
        </w:rPr>
      </w:pPr>
      <w:r>
        <w:rPr>
          <w:rFonts w:hint="eastAsia"/>
          <w:color w:val="auto"/>
          <w:sz w:val="21"/>
          <w:szCs w:val="21"/>
          <w:highlight w:val="none"/>
        </w:rPr>
        <w:t>建筑面积：约平方米</w:t>
      </w:r>
    </w:p>
    <w:p>
      <w:pPr>
        <w:spacing w:line="360" w:lineRule="auto"/>
        <w:rPr>
          <w:color w:val="auto"/>
          <w:sz w:val="21"/>
          <w:szCs w:val="21"/>
          <w:highlight w:val="none"/>
        </w:rPr>
      </w:pPr>
      <w:r>
        <w:rPr>
          <w:rFonts w:hint="eastAsia"/>
          <w:color w:val="auto"/>
          <w:sz w:val="21"/>
          <w:szCs w:val="21"/>
          <w:highlight w:val="none"/>
        </w:rPr>
        <w:t>坐落位置：</w:t>
      </w:r>
    </w:p>
    <w:p>
      <w:pPr>
        <w:spacing w:line="360" w:lineRule="auto"/>
        <w:ind w:firstLine="480"/>
        <w:rPr>
          <w:color w:val="auto"/>
          <w:sz w:val="21"/>
          <w:szCs w:val="21"/>
          <w:highlight w:val="none"/>
        </w:rPr>
      </w:pPr>
      <w:r>
        <w:rPr>
          <w:rFonts w:hint="eastAsia"/>
          <w:color w:val="auto"/>
          <w:sz w:val="21"/>
          <w:szCs w:val="21"/>
          <w:highlight w:val="none"/>
        </w:rPr>
        <w:t>根据有关法律、法规，在自愿、平等，协商一致的基础上，甲、乙双方就物业管理服务达成以下协议：</w:t>
      </w:r>
    </w:p>
    <w:p>
      <w:pPr>
        <w:spacing w:line="520" w:lineRule="exact"/>
        <w:rPr>
          <w:b/>
          <w:color w:val="auto"/>
          <w:highlight w:val="none"/>
        </w:rPr>
      </w:pPr>
      <w:r>
        <w:rPr>
          <w:rFonts w:hint="eastAsia"/>
          <w:b/>
          <w:color w:val="auto"/>
          <w:highlight w:val="none"/>
        </w:rPr>
        <w:t>第一条</w:t>
      </w:r>
      <w:r>
        <w:rPr>
          <w:rFonts w:hint="eastAsia"/>
          <w:b/>
          <w:color w:val="auto"/>
          <w:highlight w:val="none"/>
          <w:lang w:val="en-US" w:eastAsia="zh-CN"/>
        </w:rPr>
        <w:t xml:space="preserve"> </w:t>
      </w:r>
      <w:r>
        <w:rPr>
          <w:rFonts w:hint="eastAsia"/>
          <w:b/>
          <w:color w:val="auto"/>
          <w:highlight w:val="none"/>
        </w:rPr>
        <w:t>物业管理期限及付款方式</w:t>
      </w:r>
    </w:p>
    <w:p>
      <w:pPr>
        <w:spacing w:line="520" w:lineRule="exact"/>
        <w:rPr>
          <w:color w:val="auto"/>
          <w:sz w:val="21"/>
          <w:szCs w:val="21"/>
          <w:highlight w:val="none"/>
        </w:rPr>
      </w:pPr>
      <w:r>
        <w:rPr>
          <w:rFonts w:hint="eastAsia"/>
          <w:color w:val="auto"/>
          <w:sz w:val="21"/>
          <w:szCs w:val="21"/>
          <w:highlight w:val="none"/>
        </w:rPr>
        <w:t>（一）物业管理服务期限</w:t>
      </w:r>
    </w:p>
    <w:p>
      <w:pPr>
        <w:spacing w:line="360" w:lineRule="auto"/>
        <w:ind w:left="0" w:firstLine="525" w:firstLineChars="250"/>
        <w:rPr>
          <w:color w:val="auto"/>
          <w:sz w:val="21"/>
          <w:szCs w:val="21"/>
          <w:highlight w:val="none"/>
        </w:rPr>
      </w:pPr>
      <w:r>
        <w:rPr>
          <w:rFonts w:hint="eastAsia"/>
          <w:color w:val="auto"/>
          <w:sz w:val="21"/>
          <w:szCs w:val="21"/>
          <w:highlight w:val="none"/>
        </w:rPr>
        <w:t>乙方为甲方提供物业管理服务期限为： 2020年8月26日至2022年8月25日（具体服务时间以</w:t>
      </w:r>
      <w:r>
        <w:rPr>
          <w:rFonts w:hint="eastAsia"/>
          <w:color w:val="auto"/>
          <w:sz w:val="21"/>
          <w:szCs w:val="21"/>
          <w:highlight w:val="none"/>
          <w:lang w:eastAsia="zh-CN"/>
        </w:rPr>
        <w:t>甲方</w:t>
      </w:r>
      <w:r>
        <w:rPr>
          <w:rFonts w:hint="eastAsia"/>
          <w:color w:val="auto"/>
          <w:sz w:val="21"/>
          <w:szCs w:val="21"/>
          <w:highlight w:val="none"/>
        </w:rPr>
        <w:t>书面通知为准）。</w:t>
      </w:r>
    </w:p>
    <w:p>
      <w:pPr>
        <w:spacing w:line="520" w:lineRule="exact"/>
        <w:rPr>
          <w:color w:val="auto"/>
          <w:sz w:val="21"/>
          <w:szCs w:val="21"/>
          <w:highlight w:val="none"/>
        </w:rPr>
      </w:pPr>
      <w:r>
        <w:rPr>
          <w:rFonts w:hint="eastAsia"/>
          <w:color w:val="auto"/>
          <w:sz w:val="21"/>
          <w:szCs w:val="21"/>
          <w:highlight w:val="none"/>
        </w:rPr>
        <w:t>（二）合同金额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经甲乙双方协商，由乙方为甲方</w:t>
      </w:r>
      <w:r>
        <w:rPr>
          <w:rFonts w:hint="eastAsia"/>
          <w:color w:val="auto"/>
          <w:sz w:val="21"/>
          <w:szCs w:val="21"/>
          <w:highlight w:val="none"/>
          <w:u w:val="single"/>
        </w:rPr>
        <w:t>旗云花园销售中心案场及展示区物业服务项目</w:t>
      </w:r>
      <w:r>
        <w:rPr>
          <w:rFonts w:hint="eastAsia"/>
          <w:color w:val="auto"/>
          <w:sz w:val="21"/>
          <w:szCs w:val="21"/>
          <w:highlight w:val="none"/>
        </w:rPr>
        <w:t>提供物业管理服务，甲方付给乙方物业管理费每月</w:t>
      </w:r>
      <w:r>
        <w:rPr>
          <w:rFonts w:hint="eastAsia"/>
          <w:color w:val="auto"/>
          <w:sz w:val="21"/>
          <w:szCs w:val="21"/>
          <w:highlight w:val="none"/>
          <w:u w:val="single"/>
          <w:lang w:val="en-US" w:eastAsia="zh-CN"/>
        </w:rPr>
        <w:t xml:space="preserve">           </w:t>
      </w:r>
      <w:r>
        <w:rPr>
          <w:rFonts w:hint="eastAsia"/>
          <w:color w:val="auto"/>
          <w:sz w:val="21"/>
          <w:szCs w:val="21"/>
          <w:highlight w:val="none"/>
        </w:rPr>
        <w:t>元（人民币大写：）（含税）。</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付款前乙方需提交增值税率为6%的增值税专用发票，并于备注栏写明项目名称及合同名称。在合同履行期间，如遇国家的税率调整，则以开具发票的时间为准，以原合同约定价格不含税金额不变作为基准，按照新税率重新计算含税价格。</w:t>
      </w:r>
    </w:p>
    <w:p>
      <w:pPr>
        <w:keepNext w:val="0"/>
        <w:keepLines w:val="0"/>
        <w:pageBreakBefore w:val="0"/>
        <w:widowControl w:val="0"/>
        <w:kinsoku/>
        <w:wordWrap/>
        <w:overflowPunct/>
        <w:topLinePunct w:val="0"/>
        <w:bidi w:val="0"/>
        <w:snapToGrid/>
        <w:spacing w:line="360" w:lineRule="auto"/>
        <w:textAlignment w:val="auto"/>
        <w:rPr>
          <w:rFonts w:hint="eastAsia"/>
          <w:color w:val="auto"/>
          <w:sz w:val="21"/>
          <w:szCs w:val="21"/>
          <w:highlight w:val="none"/>
        </w:rPr>
      </w:pPr>
      <w:r>
        <w:rPr>
          <w:rFonts w:hint="eastAsia"/>
          <w:color w:val="auto"/>
          <w:sz w:val="21"/>
          <w:szCs w:val="21"/>
          <w:highlight w:val="none"/>
        </w:rPr>
        <w:t>（三）付款方式</w:t>
      </w:r>
    </w:p>
    <w:p>
      <w:pPr>
        <w:keepNext w:val="0"/>
        <w:keepLines w:val="0"/>
        <w:pageBreakBefore w:val="0"/>
        <w:widowControl w:val="0"/>
        <w:numPr>
          <w:ilvl w:val="0"/>
          <w:numId w:val="23"/>
        </w:numPr>
        <w:kinsoku/>
        <w:wordWrap/>
        <w:overflowPunct/>
        <w:topLinePunct w:val="0"/>
        <w:bidi w:val="0"/>
        <w:snapToGrid/>
        <w:spacing w:line="360" w:lineRule="auto"/>
        <w:ind w:left="425" w:leftChars="0" w:hanging="425" w:firstLineChars="0"/>
        <w:textAlignment w:val="auto"/>
        <w:rPr>
          <w:rFonts w:hint="eastAsia"/>
          <w:color w:val="auto"/>
          <w:sz w:val="21"/>
          <w:szCs w:val="21"/>
          <w:highlight w:val="none"/>
        </w:rPr>
      </w:pPr>
      <w:r>
        <w:rPr>
          <w:rFonts w:hint="eastAsia"/>
          <w:color w:val="auto"/>
          <w:sz w:val="21"/>
          <w:szCs w:val="21"/>
          <w:highlight w:val="none"/>
        </w:rPr>
        <w:t>按</w:t>
      </w:r>
      <w:r>
        <w:rPr>
          <w:rFonts w:hint="eastAsia"/>
          <w:color w:val="auto"/>
          <w:sz w:val="21"/>
          <w:szCs w:val="21"/>
          <w:highlight w:val="none"/>
          <w:u w:val="none"/>
          <w:lang w:eastAsia="zh-CN"/>
        </w:rPr>
        <w:t>月</w:t>
      </w:r>
      <w:r>
        <w:rPr>
          <w:rFonts w:hint="eastAsia"/>
          <w:color w:val="auto"/>
          <w:sz w:val="21"/>
          <w:szCs w:val="21"/>
          <w:highlight w:val="none"/>
        </w:rPr>
        <w:t>支付，合同期内每月服务费支付标准根据《附件：物业管理考核细则》的监督和考核情况进行支付，当考核分数低于60分视为考核不合格，每年累计三个月不合格，将视为乙方违约，甲方有权单方解除合同。</w:t>
      </w:r>
    </w:p>
    <w:p>
      <w:pPr>
        <w:keepNext w:val="0"/>
        <w:keepLines w:val="0"/>
        <w:pageBreakBefore w:val="0"/>
        <w:widowControl w:val="0"/>
        <w:numPr>
          <w:ilvl w:val="0"/>
          <w:numId w:val="23"/>
        </w:numPr>
        <w:kinsoku/>
        <w:wordWrap/>
        <w:overflowPunct/>
        <w:topLinePunct w:val="0"/>
        <w:bidi w:val="0"/>
        <w:snapToGrid/>
        <w:spacing w:line="360" w:lineRule="auto"/>
        <w:ind w:left="425" w:leftChars="0" w:hanging="425" w:firstLineChars="0"/>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月度考核在每月的25日之前完成，由甲方根据当月物业服务综合质量，结合日常考核结果，对保安、保洁进行分项统计和评分，月度考核结果报部门审批备案后，发送至乙方</w:t>
      </w:r>
      <w:r>
        <w:rPr>
          <w:rFonts w:hint="eastAsia"/>
          <w:color w:val="auto"/>
          <w:sz w:val="21"/>
          <w:szCs w:val="21"/>
          <w:highlight w:val="none"/>
          <w:lang w:eastAsia="zh-CN"/>
        </w:rPr>
        <w:t>。</w:t>
      </w:r>
    </w:p>
    <w:p>
      <w:pPr>
        <w:pStyle w:val="2"/>
        <w:keepNext w:val="0"/>
        <w:keepLines w:val="0"/>
        <w:pageBreakBefore w:val="0"/>
        <w:widowControl w:val="0"/>
        <w:numPr>
          <w:ilvl w:val="0"/>
          <w:numId w:val="23"/>
        </w:numPr>
        <w:kinsoku/>
        <w:wordWrap/>
        <w:overflowPunct/>
        <w:topLinePunct w:val="0"/>
        <w:bidi w:val="0"/>
        <w:snapToGrid/>
        <w:spacing w:line="360" w:lineRule="auto"/>
        <w:ind w:left="425" w:leftChars="0" w:hanging="425"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乙方收到考核合格通知后五个工作日内须提交齐全请款资料，甲方在收到乙方资料后十个工作日内支付上一个月度的物业管理费。</w:t>
      </w:r>
    </w:p>
    <w:p>
      <w:pPr>
        <w:pStyle w:val="21"/>
        <w:keepNext w:val="0"/>
        <w:keepLines w:val="0"/>
        <w:pageBreakBefore w:val="0"/>
        <w:widowControl w:val="0"/>
        <w:kinsoku/>
        <w:wordWrap/>
        <w:overflowPunct/>
        <w:topLinePunct w:val="0"/>
        <w:bidi w:val="0"/>
        <w:snapToGrid/>
        <w:spacing w:line="360" w:lineRule="auto"/>
        <w:ind w:right="0" w:firstLine="420" w:firstLineChars="200"/>
        <w:jc w:val="left"/>
        <w:textAlignment w:val="auto"/>
        <w:rPr>
          <w:rFonts w:hint="eastAsia" w:hAnsi="宋体"/>
          <w:b w:val="0"/>
          <w:bCs w:val="0"/>
          <w:color w:val="auto"/>
          <w:sz w:val="21"/>
          <w:szCs w:val="21"/>
          <w:highlight w:val="none"/>
          <w:lang w:val="en-US"/>
        </w:rPr>
      </w:pPr>
      <w:r>
        <w:rPr>
          <w:rFonts w:hint="eastAsia" w:hAnsi="宋体"/>
          <w:b w:val="0"/>
          <w:bCs w:val="0"/>
          <w:color w:val="auto"/>
          <w:sz w:val="21"/>
          <w:szCs w:val="21"/>
          <w:highlight w:val="none"/>
          <w:lang w:val="en-US"/>
        </w:rPr>
        <w:t>付款账号如下：</w:t>
      </w:r>
    </w:p>
    <w:p>
      <w:pPr>
        <w:pStyle w:val="144"/>
        <w:keepNext w:val="0"/>
        <w:keepLines w:val="0"/>
        <w:pageBreakBefore w:val="0"/>
        <w:widowControl w:val="0"/>
        <w:kinsoku/>
        <w:wordWrap/>
        <w:overflowPunct/>
        <w:topLinePunct w:val="0"/>
        <w:bidi w:val="0"/>
        <w:snapToGrid/>
        <w:spacing w:line="360" w:lineRule="auto"/>
        <w:ind w:left="420" w:firstLine="0" w:firstLineChars="0"/>
        <w:textAlignment w:val="auto"/>
        <w:rPr>
          <w:rFonts w:ascii="宋体" w:hAnsi="宋体"/>
          <w:color w:val="auto"/>
          <w:sz w:val="21"/>
          <w:szCs w:val="21"/>
          <w:highlight w:val="none"/>
        </w:rPr>
      </w:pPr>
      <w:r>
        <w:rPr>
          <w:rFonts w:ascii="宋体" w:hAnsi="宋体"/>
          <w:color w:val="auto"/>
          <w:sz w:val="21"/>
          <w:szCs w:val="21"/>
          <w:highlight w:val="none"/>
        </w:rPr>
        <w:t>帐户名称：</w:t>
      </w:r>
      <w:r>
        <w:rPr>
          <w:rFonts w:hint="eastAsia" w:ascii="宋体" w:hAnsi="宋体"/>
          <w:color w:val="auto"/>
          <w:sz w:val="21"/>
          <w:szCs w:val="21"/>
          <w:highlight w:val="none"/>
        </w:rPr>
        <w:t xml:space="preserve"> </w:t>
      </w:r>
    </w:p>
    <w:p>
      <w:pPr>
        <w:pStyle w:val="144"/>
        <w:keepNext w:val="0"/>
        <w:keepLines w:val="0"/>
        <w:pageBreakBefore w:val="0"/>
        <w:widowControl w:val="0"/>
        <w:kinsoku/>
        <w:wordWrap/>
        <w:overflowPunct/>
        <w:topLinePunct w:val="0"/>
        <w:bidi w:val="0"/>
        <w:snapToGrid/>
        <w:spacing w:line="360" w:lineRule="auto"/>
        <w:ind w:left="420" w:firstLine="0" w:firstLineChars="0"/>
        <w:textAlignment w:val="auto"/>
        <w:rPr>
          <w:rFonts w:ascii="宋体" w:hAnsi="宋体"/>
          <w:color w:val="auto"/>
          <w:sz w:val="21"/>
          <w:szCs w:val="21"/>
          <w:highlight w:val="none"/>
        </w:rPr>
      </w:pPr>
      <w:r>
        <w:rPr>
          <w:rFonts w:ascii="宋体" w:hAnsi="宋体"/>
          <w:color w:val="auto"/>
          <w:sz w:val="21"/>
          <w:szCs w:val="21"/>
          <w:highlight w:val="none"/>
        </w:rPr>
        <w:t>开户银行：</w:t>
      </w:r>
      <w:r>
        <w:rPr>
          <w:rFonts w:hint="eastAsia" w:ascii="宋体" w:hAnsi="宋体"/>
          <w:color w:val="auto"/>
          <w:sz w:val="21"/>
          <w:szCs w:val="21"/>
          <w:highlight w:val="none"/>
        </w:rPr>
        <w:t xml:space="preserve"> </w:t>
      </w:r>
    </w:p>
    <w:p>
      <w:pPr>
        <w:pStyle w:val="144"/>
        <w:keepNext w:val="0"/>
        <w:keepLines w:val="0"/>
        <w:pageBreakBefore w:val="0"/>
        <w:widowControl w:val="0"/>
        <w:kinsoku/>
        <w:wordWrap/>
        <w:overflowPunct/>
        <w:topLinePunct w:val="0"/>
        <w:bidi w:val="0"/>
        <w:snapToGrid/>
        <w:spacing w:line="360" w:lineRule="auto"/>
        <w:ind w:left="420" w:firstLine="0" w:firstLineChars="0"/>
        <w:textAlignment w:val="auto"/>
        <w:rPr>
          <w:rFonts w:hint="eastAsia" w:hAnsi="宋体"/>
          <w:b/>
          <w:bCs/>
          <w:color w:val="auto"/>
          <w:sz w:val="21"/>
          <w:szCs w:val="21"/>
          <w:highlight w:val="none"/>
        </w:rPr>
      </w:pPr>
      <w:r>
        <w:rPr>
          <w:rFonts w:ascii="宋体" w:hAnsi="宋体"/>
          <w:color w:val="auto"/>
          <w:sz w:val="21"/>
          <w:szCs w:val="21"/>
          <w:highlight w:val="none"/>
        </w:rPr>
        <w:t>帐    号：</w:t>
      </w:r>
      <w:r>
        <w:rPr>
          <w:rFonts w:hint="eastAsia" w:ascii="宋体" w:hAnsi="宋体"/>
          <w:color w:val="auto"/>
          <w:sz w:val="21"/>
          <w:szCs w:val="21"/>
          <w:highlight w:val="none"/>
        </w:rPr>
        <w:t xml:space="preserve"> </w:t>
      </w:r>
    </w:p>
    <w:p>
      <w:pPr>
        <w:pStyle w:val="2"/>
        <w:rPr>
          <w:color w:val="auto"/>
          <w:highlight w:val="none"/>
          <w:lang w:val="en-US"/>
        </w:rPr>
      </w:pPr>
    </w:p>
    <w:p>
      <w:pPr>
        <w:spacing w:line="520" w:lineRule="exact"/>
        <w:rPr>
          <w:rFonts w:hint="eastAsia"/>
          <w:b/>
          <w:color w:val="auto"/>
          <w:highlight w:val="none"/>
        </w:rPr>
      </w:pPr>
      <w:r>
        <w:rPr>
          <w:rFonts w:hint="eastAsia"/>
          <w:b/>
          <w:color w:val="auto"/>
          <w:highlight w:val="none"/>
        </w:rPr>
        <w:t>第二条</w:t>
      </w:r>
      <w:r>
        <w:rPr>
          <w:rFonts w:hint="eastAsia"/>
          <w:b/>
          <w:color w:val="auto"/>
          <w:highlight w:val="none"/>
          <w:lang w:val="en-US" w:eastAsia="zh-CN"/>
        </w:rPr>
        <w:t xml:space="preserve"> </w:t>
      </w:r>
      <w:r>
        <w:rPr>
          <w:rFonts w:hint="eastAsia"/>
          <w:b/>
          <w:color w:val="auto"/>
          <w:highlight w:val="none"/>
        </w:rPr>
        <w:t>双方的权利义务</w:t>
      </w:r>
    </w:p>
    <w:p>
      <w:pPr>
        <w:spacing w:line="520" w:lineRule="exact"/>
        <w:rPr>
          <w:color w:val="auto"/>
          <w:sz w:val="21"/>
          <w:szCs w:val="21"/>
          <w:highlight w:val="none"/>
        </w:rPr>
      </w:pPr>
      <w:r>
        <w:rPr>
          <w:rFonts w:hint="eastAsia"/>
          <w:color w:val="auto"/>
          <w:sz w:val="21"/>
          <w:szCs w:val="21"/>
          <w:highlight w:val="none"/>
        </w:rPr>
        <w:t>（一）甲方的权利和义务</w:t>
      </w:r>
    </w:p>
    <w:p>
      <w:pPr>
        <w:numPr>
          <w:ilvl w:val="0"/>
          <w:numId w:val="24"/>
        </w:numPr>
        <w:spacing w:line="520" w:lineRule="exact"/>
        <w:rPr>
          <w:color w:val="auto"/>
          <w:sz w:val="21"/>
          <w:szCs w:val="21"/>
          <w:highlight w:val="none"/>
        </w:rPr>
      </w:pPr>
      <w:r>
        <w:rPr>
          <w:rFonts w:hint="eastAsia"/>
          <w:color w:val="auto"/>
          <w:sz w:val="21"/>
          <w:szCs w:val="21"/>
          <w:highlight w:val="none"/>
        </w:rPr>
        <w:t>监督乙方的物业管理服务行为，就物业管理服务的有关问题向乙方提出意见和建议。</w:t>
      </w:r>
    </w:p>
    <w:p>
      <w:pPr>
        <w:numPr>
          <w:ilvl w:val="0"/>
          <w:numId w:val="24"/>
        </w:numPr>
        <w:spacing w:line="520" w:lineRule="exact"/>
        <w:rPr>
          <w:color w:val="auto"/>
          <w:sz w:val="21"/>
          <w:szCs w:val="21"/>
          <w:highlight w:val="none"/>
        </w:rPr>
      </w:pPr>
      <w:r>
        <w:rPr>
          <w:rFonts w:hint="eastAsia"/>
          <w:color w:val="auto"/>
          <w:sz w:val="21"/>
          <w:szCs w:val="21"/>
          <w:highlight w:val="none"/>
        </w:rPr>
        <w:t>依据本</w:t>
      </w:r>
      <w:r>
        <w:rPr>
          <w:rFonts w:hint="eastAsia"/>
          <w:color w:val="auto"/>
          <w:sz w:val="21"/>
          <w:szCs w:val="21"/>
          <w:highlight w:val="none"/>
          <w:lang w:eastAsia="zh-CN"/>
        </w:rPr>
        <w:t>合同</w:t>
      </w:r>
      <w:r>
        <w:rPr>
          <w:rFonts w:hint="eastAsia"/>
          <w:color w:val="auto"/>
          <w:sz w:val="21"/>
          <w:szCs w:val="21"/>
          <w:highlight w:val="none"/>
        </w:rPr>
        <w:t>甲方向乙方交纳物业管理服务费及其它费用。</w:t>
      </w:r>
    </w:p>
    <w:p>
      <w:pPr>
        <w:numPr>
          <w:ilvl w:val="0"/>
          <w:numId w:val="24"/>
        </w:numPr>
        <w:spacing w:line="520" w:lineRule="exact"/>
        <w:rPr>
          <w:color w:val="auto"/>
          <w:sz w:val="21"/>
          <w:szCs w:val="21"/>
          <w:highlight w:val="none"/>
        </w:rPr>
      </w:pPr>
      <w:r>
        <w:rPr>
          <w:rFonts w:hint="eastAsia"/>
          <w:color w:val="auto"/>
          <w:sz w:val="21"/>
          <w:szCs w:val="21"/>
          <w:highlight w:val="none"/>
        </w:rPr>
        <w:t>接受乙方对旗云花园销售中心案场及展示区的物业管理服务。</w:t>
      </w:r>
    </w:p>
    <w:p>
      <w:pPr>
        <w:spacing w:line="520" w:lineRule="exact"/>
        <w:rPr>
          <w:color w:val="auto"/>
          <w:sz w:val="21"/>
          <w:szCs w:val="21"/>
          <w:highlight w:val="none"/>
        </w:rPr>
      </w:pPr>
      <w:r>
        <w:rPr>
          <w:rFonts w:hint="eastAsia"/>
          <w:color w:val="auto"/>
          <w:sz w:val="21"/>
          <w:szCs w:val="21"/>
          <w:highlight w:val="none"/>
        </w:rPr>
        <w:t>（二）乙方的权利和义务</w:t>
      </w:r>
    </w:p>
    <w:p>
      <w:pPr>
        <w:spacing w:line="520" w:lineRule="exact"/>
        <w:rPr>
          <w:color w:val="auto"/>
          <w:sz w:val="21"/>
          <w:szCs w:val="21"/>
          <w:highlight w:val="none"/>
        </w:rPr>
      </w:pPr>
      <w:r>
        <w:rPr>
          <w:rFonts w:hint="eastAsia"/>
          <w:color w:val="auto"/>
          <w:sz w:val="21"/>
          <w:szCs w:val="21"/>
          <w:highlight w:val="none"/>
        </w:rPr>
        <w:t>1、根据有关法律、法规和政策，结合实际情况，制定各岗位制度。</w:t>
      </w:r>
    </w:p>
    <w:p>
      <w:pPr>
        <w:spacing w:line="520" w:lineRule="exact"/>
        <w:rPr>
          <w:color w:val="auto"/>
          <w:sz w:val="21"/>
          <w:szCs w:val="21"/>
          <w:highlight w:val="none"/>
        </w:rPr>
      </w:pPr>
      <w:r>
        <w:rPr>
          <w:rFonts w:hint="eastAsia"/>
          <w:color w:val="auto"/>
          <w:sz w:val="21"/>
          <w:szCs w:val="21"/>
          <w:highlight w:val="none"/>
        </w:rPr>
        <w:t>2、依据本</w:t>
      </w:r>
      <w:r>
        <w:rPr>
          <w:rFonts w:hint="eastAsia"/>
          <w:color w:val="auto"/>
          <w:sz w:val="21"/>
          <w:szCs w:val="21"/>
          <w:highlight w:val="none"/>
          <w:lang w:eastAsia="zh-CN"/>
        </w:rPr>
        <w:t>合同</w:t>
      </w:r>
      <w:r>
        <w:rPr>
          <w:rFonts w:hint="eastAsia"/>
          <w:color w:val="auto"/>
          <w:sz w:val="21"/>
          <w:szCs w:val="21"/>
          <w:highlight w:val="none"/>
        </w:rPr>
        <w:t>，向甲方收取物业管理费，并开具正规物业管理费发票。</w:t>
      </w:r>
    </w:p>
    <w:p>
      <w:pPr>
        <w:spacing w:line="520" w:lineRule="exact"/>
        <w:rPr>
          <w:color w:val="auto"/>
          <w:sz w:val="21"/>
          <w:szCs w:val="21"/>
          <w:highlight w:val="none"/>
        </w:rPr>
      </w:pPr>
      <w:r>
        <w:rPr>
          <w:rFonts w:hint="eastAsia"/>
          <w:color w:val="auto"/>
          <w:sz w:val="21"/>
          <w:szCs w:val="21"/>
          <w:highlight w:val="none"/>
        </w:rPr>
        <w:t>3、负责各岗位员工的培训工作。</w:t>
      </w:r>
    </w:p>
    <w:p>
      <w:pPr>
        <w:spacing w:line="520" w:lineRule="exact"/>
        <w:rPr>
          <w:color w:val="auto"/>
          <w:sz w:val="21"/>
          <w:szCs w:val="21"/>
          <w:highlight w:val="none"/>
        </w:rPr>
      </w:pPr>
      <w:r>
        <w:rPr>
          <w:rFonts w:hint="eastAsia"/>
          <w:color w:val="auto"/>
          <w:sz w:val="21"/>
          <w:szCs w:val="21"/>
          <w:highlight w:val="none"/>
        </w:rPr>
        <w:t>4、接受甲方的监督、管理，遵守甲方的相关工作制度。</w:t>
      </w:r>
    </w:p>
    <w:p>
      <w:pPr>
        <w:spacing w:line="520" w:lineRule="exact"/>
        <w:rPr>
          <w:color w:val="auto"/>
          <w:sz w:val="21"/>
          <w:szCs w:val="21"/>
          <w:highlight w:val="none"/>
        </w:rPr>
      </w:pPr>
      <w:r>
        <w:rPr>
          <w:rFonts w:hint="eastAsia"/>
          <w:color w:val="auto"/>
          <w:sz w:val="21"/>
          <w:szCs w:val="21"/>
          <w:highlight w:val="none"/>
        </w:rPr>
        <w:t>5、配合售楼处的相关工作安排。</w:t>
      </w:r>
    </w:p>
    <w:p>
      <w:pPr>
        <w:spacing w:line="520" w:lineRule="exact"/>
        <w:rPr>
          <w:rFonts w:hint="eastAsia"/>
          <w:color w:val="auto"/>
          <w:sz w:val="21"/>
          <w:szCs w:val="21"/>
          <w:highlight w:val="none"/>
        </w:rPr>
      </w:pPr>
      <w:r>
        <w:rPr>
          <w:rFonts w:hint="eastAsia"/>
          <w:color w:val="auto"/>
          <w:sz w:val="21"/>
          <w:szCs w:val="21"/>
          <w:highlight w:val="none"/>
        </w:rPr>
        <w:t>6、由于乙方失职等原因造成甲方财产等损失的，由乙方负责承担赔偿责任。</w:t>
      </w:r>
    </w:p>
    <w:p>
      <w:pPr>
        <w:pStyle w:val="2"/>
        <w:rPr>
          <w:color w:val="auto"/>
          <w:sz w:val="24"/>
          <w:szCs w:val="24"/>
          <w:highlight w:val="none"/>
        </w:rPr>
      </w:pPr>
    </w:p>
    <w:p>
      <w:pPr>
        <w:spacing w:line="520" w:lineRule="exact"/>
        <w:rPr>
          <w:color w:val="auto"/>
          <w:highlight w:val="none"/>
        </w:rPr>
      </w:pPr>
      <w:r>
        <w:rPr>
          <w:rFonts w:hint="eastAsia"/>
          <w:color w:val="auto"/>
          <w:highlight w:val="none"/>
        </w:rPr>
        <w:t>第</w:t>
      </w:r>
      <w:r>
        <w:rPr>
          <w:rFonts w:hint="eastAsia"/>
          <w:b/>
          <w:color w:val="auto"/>
          <w:highlight w:val="none"/>
        </w:rPr>
        <w:t>三条</w:t>
      </w:r>
      <w:r>
        <w:rPr>
          <w:rFonts w:hint="eastAsia"/>
          <w:b/>
          <w:color w:val="auto"/>
          <w:highlight w:val="none"/>
          <w:lang w:val="en-US" w:eastAsia="zh-CN"/>
        </w:rPr>
        <w:t xml:space="preserve"> </w:t>
      </w:r>
      <w:r>
        <w:rPr>
          <w:rFonts w:hint="eastAsia"/>
          <w:b/>
          <w:color w:val="auto"/>
          <w:highlight w:val="none"/>
        </w:rPr>
        <w:t>乙方向甲方提供下列物业管理服务</w:t>
      </w:r>
    </w:p>
    <w:p>
      <w:pPr>
        <w:adjustRightInd/>
        <w:spacing w:line="520" w:lineRule="exact"/>
        <w:ind w:firstLine="420" w:firstLineChars="200"/>
        <w:rPr>
          <w:color w:val="auto"/>
          <w:sz w:val="21"/>
          <w:szCs w:val="21"/>
          <w:highlight w:val="none"/>
        </w:rPr>
      </w:pPr>
      <w:r>
        <w:rPr>
          <w:rFonts w:hint="eastAsia"/>
          <w:color w:val="auto"/>
          <w:sz w:val="21"/>
          <w:szCs w:val="21"/>
          <w:highlight w:val="none"/>
        </w:rPr>
        <w:t>物业管理的具体范围为：旗云花园销售中心案场及展示区（含临时咨询中心、销售中心、样板房、停车场等展示区）。包括但不限于：</w:t>
      </w:r>
    </w:p>
    <w:p>
      <w:pPr>
        <w:numPr>
          <w:ilvl w:val="0"/>
          <w:numId w:val="25"/>
        </w:numPr>
        <w:spacing w:line="520" w:lineRule="exact"/>
        <w:rPr>
          <w:color w:val="auto"/>
          <w:sz w:val="21"/>
          <w:szCs w:val="21"/>
          <w:highlight w:val="none"/>
        </w:rPr>
      </w:pPr>
      <w:r>
        <w:rPr>
          <w:rFonts w:hint="eastAsia"/>
          <w:color w:val="auto"/>
          <w:sz w:val="21"/>
          <w:szCs w:val="21"/>
          <w:highlight w:val="none"/>
        </w:rPr>
        <w:t>售楼处室内的卫生、保洁工作及各类耗材。</w:t>
      </w:r>
    </w:p>
    <w:p>
      <w:pPr>
        <w:numPr>
          <w:ilvl w:val="0"/>
          <w:numId w:val="25"/>
        </w:numPr>
        <w:spacing w:line="520" w:lineRule="exact"/>
        <w:rPr>
          <w:color w:val="auto"/>
          <w:sz w:val="21"/>
          <w:szCs w:val="21"/>
          <w:highlight w:val="none"/>
        </w:rPr>
      </w:pPr>
      <w:r>
        <w:rPr>
          <w:rFonts w:hint="eastAsia"/>
          <w:color w:val="auto"/>
          <w:sz w:val="21"/>
          <w:szCs w:val="21"/>
          <w:highlight w:val="none"/>
        </w:rPr>
        <w:t>售楼前车场的车辆协调指挥工作。</w:t>
      </w:r>
    </w:p>
    <w:p>
      <w:pPr>
        <w:numPr>
          <w:ilvl w:val="0"/>
          <w:numId w:val="25"/>
        </w:numPr>
        <w:spacing w:line="520" w:lineRule="exact"/>
        <w:rPr>
          <w:color w:val="auto"/>
          <w:sz w:val="21"/>
          <w:szCs w:val="21"/>
          <w:highlight w:val="none"/>
        </w:rPr>
      </w:pPr>
      <w:r>
        <w:rPr>
          <w:rFonts w:hint="eastAsia"/>
          <w:color w:val="auto"/>
          <w:sz w:val="21"/>
          <w:szCs w:val="21"/>
          <w:highlight w:val="none"/>
        </w:rPr>
        <w:t>售楼处的相关秩序维护工作。</w:t>
      </w:r>
    </w:p>
    <w:p>
      <w:pPr>
        <w:numPr>
          <w:ilvl w:val="0"/>
          <w:numId w:val="25"/>
        </w:numPr>
        <w:spacing w:line="520" w:lineRule="exact"/>
        <w:rPr>
          <w:color w:val="auto"/>
          <w:sz w:val="21"/>
          <w:szCs w:val="21"/>
          <w:highlight w:val="none"/>
        </w:rPr>
      </w:pPr>
      <w:r>
        <w:rPr>
          <w:rFonts w:hint="eastAsia"/>
          <w:color w:val="auto"/>
          <w:sz w:val="21"/>
          <w:szCs w:val="21"/>
          <w:highlight w:val="none"/>
        </w:rPr>
        <w:t>售楼处夜间物品看管工作。</w:t>
      </w:r>
    </w:p>
    <w:p>
      <w:pPr>
        <w:numPr>
          <w:ilvl w:val="0"/>
          <w:numId w:val="25"/>
        </w:numPr>
        <w:spacing w:line="520" w:lineRule="exact"/>
        <w:rPr>
          <w:color w:val="auto"/>
          <w:sz w:val="21"/>
          <w:szCs w:val="21"/>
          <w:highlight w:val="none"/>
        </w:rPr>
      </w:pPr>
      <w:r>
        <w:rPr>
          <w:rFonts w:hint="eastAsia"/>
          <w:color w:val="auto"/>
          <w:sz w:val="21"/>
          <w:szCs w:val="21"/>
          <w:highlight w:val="none"/>
        </w:rPr>
        <w:t>日常维修工作。</w:t>
      </w:r>
    </w:p>
    <w:p>
      <w:pPr>
        <w:numPr>
          <w:ilvl w:val="0"/>
          <w:numId w:val="25"/>
        </w:numPr>
        <w:spacing w:line="520" w:lineRule="exact"/>
        <w:rPr>
          <w:color w:val="auto"/>
          <w:sz w:val="21"/>
          <w:szCs w:val="21"/>
          <w:highlight w:val="none"/>
        </w:rPr>
      </w:pPr>
      <w:r>
        <w:rPr>
          <w:rFonts w:hint="eastAsia"/>
          <w:color w:val="auto"/>
          <w:sz w:val="21"/>
          <w:szCs w:val="21"/>
          <w:highlight w:val="none"/>
        </w:rPr>
        <w:t>玻璃幕墙的定期清理工作。</w:t>
      </w:r>
    </w:p>
    <w:p>
      <w:pPr>
        <w:numPr>
          <w:ilvl w:val="0"/>
          <w:numId w:val="25"/>
        </w:numPr>
        <w:spacing w:line="520" w:lineRule="exact"/>
        <w:rPr>
          <w:color w:val="auto"/>
          <w:sz w:val="21"/>
          <w:szCs w:val="21"/>
          <w:highlight w:val="none"/>
        </w:rPr>
      </w:pPr>
      <w:r>
        <w:rPr>
          <w:rFonts w:hint="eastAsia"/>
          <w:color w:val="auto"/>
          <w:sz w:val="21"/>
          <w:szCs w:val="21"/>
          <w:highlight w:val="none"/>
        </w:rPr>
        <w:t>秩序维护24小时不间断服务。</w:t>
      </w:r>
    </w:p>
    <w:p>
      <w:pPr>
        <w:pStyle w:val="2"/>
        <w:rPr>
          <w:color w:val="auto"/>
          <w:highlight w:val="none"/>
        </w:rPr>
      </w:pPr>
    </w:p>
    <w:p>
      <w:pPr>
        <w:numPr>
          <w:ilvl w:val="0"/>
          <w:numId w:val="26"/>
        </w:numPr>
        <w:spacing w:line="520" w:lineRule="exact"/>
        <w:rPr>
          <w:b/>
          <w:color w:val="auto"/>
          <w:highlight w:val="none"/>
        </w:rPr>
      </w:pPr>
      <w:r>
        <w:rPr>
          <w:rFonts w:hint="eastAsia"/>
          <w:b/>
          <w:color w:val="auto"/>
          <w:highlight w:val="none"/>
        </w:rPr>
        <w:t>各岗位工作标准</w:t>
      </w:r>
    </w:p>
    <w:p>
      <w:pPr>
        <w:pStyle w:val="2"/>
        <w:ind w:firstLine="0" w:firstLineChars="0"/>
        <w:rPr>
          <w:color w:val="auto"/>
          <w:highlight w:val="none"/>
        </w:rPr>
      </w:pPr>
    </w:p>
    <w:tbl>
      <w:tblPr>
        <w:tblStyle w:val="53"/>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15" w:type="dxa"/>
          <w:left w:w="15" w:type="dxa"/>
          <w:bottom w:w="15" w:type="dxa"/>
          <w:right w:w="15" w:type="dxa"/>
        </w:tblCellMar>
      </w:tblPr>
      <w:tblGrid>
        <w:gridCol w:w="481"/>
        <w:gridCol w:w="1779"/>
        <w:gridCol w:w="589"/>
        <w:gridCol w:w="621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08" w:hRule="atLeast"/>
          <w:jc w:val="center"/>
        </w:trPr>
        <w:tc>
          <w:tcPr>
            <w:tcW w:w="9063" w:type="dxa"/>
            <w:gridSpan w:val="4"/>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营销中心案场人员素质要求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08" w:hRule="atLeast"/>
          <w:jc w:val="center"/>
        </w:trPr>
        <w:tc>
          <w:tcPr>
            <w:tcW w:w="481"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序号</w:t>
            </w:r>
          </w:p>
        </w:tc>
        <w:tc>
          <w:tcPr>
            <w:tcW w:w="177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岗位</w:t>
            </w:r>
          </w:p>
        </w:tc>
        <w:tc>
          <w:tcPr>
            <w:tcW w:w="58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编制</w:t>
            </w:r>
          </w:p>
        </w:tc>
        <w:tc>
          <w:tcPr>
            <w:tcW w:w="6214"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任职标准</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580" w:hRule="atLeast"/>
          <w:jc w:val="center"/>
        </w:trPr>
        <w:tc>
          <w:tcPr>
            <w:tcW w:w="481"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1</w:t>
            </w:r>
          </w:p>
        </w:tc>
        <w:tc>
          <w:tcPr>
            <w:tcW w:w="17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营销案场物业经理（项目经理）</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1</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大专以上学历，男女不限，25-35岁，形象气质佳，沟通能力强，有较强的管理能力，培训能力，有酒店管理或物业案场5年以上工作经历</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481"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2</w:t>
            </w:r>
          </w:p>
        </w:tc>
        <w:tc>
          <w:tcPr>
            <w:tcW w:w="17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客服/接待员</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4</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高中及以上学历，女性，18-28岁，身高165cm以上，形象气质佳，亲和力强。</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481"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3</w:t>
            </w:r>
          </w:p>
        </w:tc>
        <w:tc>
          <w:tcPr>
            <w:tcW w:w="17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门童/礼宾</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1</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初中及以上学历，身高180cm以上，30岁以下，身体健康，形象气质好，无不良嗜好。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481"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4</w:t>
            </w:r>
          </w:p>
        </w:tc>
        <w:tc>
          <w:tcPr>
            <w:tcW w:w="17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安全员</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2</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初中及以上学历，身高175cm以上，30岁以下，身体健康，形象气质好，无不良嗜好。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56" w:hRule="atLeast"/>
          <w:jc w:val="center"/>
        </w:trPr>
        <w:tc>
          <w:tcPr>
            <w:tcW w:w="481" w:type="dxa"/>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5</w:t>
            </w:r>
          </w:p>
        </w:tc>
        <w:tc>
          <w:tcPr>
            <w:tcW w:w="17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保洁员</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3</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45岁以下，身体健康，吃苦耐劳，有保洁工作经历优先。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08" w:hRule="atLeast"/>
          <w:jc w:val="center"/>
        </w:trPr>
        <w:tc>
          <w:tcPr>
            <w:tcW w:w="226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小计</w:t>
            </w:r>
          </w:p>
        </w:tc>
        <w:tc>
          <w:tcPr>
            <w:tcW w:w="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11</w:t>
            </w:r>
          </w:p>
        </w:tc>
        <w:tc>
          <w:tcPr>
            <w:tcW w:w="621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rPr>
                <w:rFonts w:hAnsi="宋体"/>
                <w:color w:val="auto"/>
                <w:sz w:val="21"/>
                <w:szCs w:val="21"/>
                <w:highlight w:val="none"/>
              </w:rPr>
            </w:pPr>
            <w:r>
              <w:rPr>
                <w:rFonts w:hint="eastAsia" w:hAnsi="宋体"/>
                <w:color w:val="auto"/>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66" w:hRule="atLeast"/>
          <w:jc w:val="center"/>
        </w:trPr>
        <w:tc>
          <w:tcPr>
            <w:tcW w:w="9063" w:type="dxa"/>
            <w:gridSpan w:val="4"/>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jc w:val="center"/>
              <w:rPr>
                <w:rFonts w:hAnsi="宋体"/>
                <w:color w:val="auto"/>
                <w:sz w:val="21"/>
                <w:szCs w:val="21"/>
                <w:highlight w:val="none"/>
              </w:rPr>
            </w:pPr>
            <w:r>
              <w:rPr>
                <w:rFonts w:hint="eastAsia" w:hAnsi="宋体"/>
                <w:color w:val="auto"/>
                <w:sz w:val="21"/>
                <w:szCs w:val="21"/>
                <w:highlight w:val="none"/>
              </w:rPr>
              <w:t>项目编制总人数不得低于11人，甲方后期可根据各阶段实际需要进行调整编制。</w:t>
            </w:r>
          </w:p>
        </w:tc>
      </w:tr>
    </w:tbl>
    <w:p>
      <w:pPr>
        <w:pStyle w:val="2"/>
        <w:ind w:firstLine="0" w:firstLineChars="0"/>
        <w:rPr>
          <w:color w:val="auto"/>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84"/>
        <w:gridCol w:w="614"/>
        <w:gridCol w:w="614"/>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4" w:type="dxa"/>
            <w:gridSpan w:val="5"/>
          </w:tcPr>
          <w:p>
            <w:pPr>
              <w:widowControl/>
              <w:jc w:val="center"/>
              <w:rPr>
                <w:rFonts w:hAnsi="宋体"/>
                <w:b/>
                <w:bCs/>
                <w:color w:val="auto"/>
                <w:sz w:val="21"/>
                <w:szCs w:val="21"/>
                <w:highlight w:val="none"/>
              </w:rPr>
            </w:pPr>
            <w:r>
              <w:rPr>
                <w:rFonts w:hint="eastAsia" w:hAnsi="宋体"/>
                <w:b/>
                <w:bCs/>
                <w:color w:val="auto"/>
                <w:sz w:val="21"/>
                <w:szCs w:val="21"/>
                <w:highlight w:val="none"/>
              </w:rPr>
              <w:t>营销中心接待流程及要求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b/>
                <w:bCs/>
                <w:color w:val="auto"/>
                <w:sz w:val="21"/>
                <w:szCs w:val="21"/>
                <w:highlight w:val="none"/>
              </w:rPr>
            </w:pPr>
            <w:r>
              <w:rPr>
                <w:rFonts w:hint="eastAsia" w:hAnsi="宋体"/>
                <w:b/>
                <w:bCs/>
                <w:color w:val="auto"/>
                <w:sz w:val="21"/>
                <w:szCs w:val="21"/>
                <w:highlight w:val="none"/>
              </w:rPr>
              <w:t>序号</w:t>
            </w:r>
          </w:p>
        </w:tc>
        <w:tc>
          <w:tcPr>
            <w:tcW w:w="984" w:type="dxa"/>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区域</w:t>
            </w:r>
          </w:p>
        </w:tc>
        <w:tc>
          <w:tcPr>
            <w:tcW w:w="614" w:type="dxa"/>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部门</w:t>
            </w:r>
          </w:p>
        </w:tc>
        <w:tc>
          <w:tcPr>
            <w:tcW w:w="614" w:type="dxa"/>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职位</w:t>
            </w:r>
          </w:p>
        </w:tc>
        <w:tc>
          <w:tcPr>
            <w:tcW w:w="6317" w:type="dxa"/>
            <w:vAlign w:val="center"/>
          </w:tcPr>
          <w:p>
            <w:pPr>
              <w:widowControl/>
              <w:jc w:val="center"/>
              <w:rPr>
                <w:rFonts w:hAnsi="宋体"/>
                <w:b/>
                <w:bCs/>
                <w:color w:val="auto"/>
                <w:sz w:val="21"/>
                <w:szCs w:val="21"/>
                <w:highlight w:val="none"/>
              </w:rPr>
            </w:pPr>
            <w:r>
              <w:rPr>
                <w:rFonts w:hint="eastAsia" w:hAnsi="宋体"/>
                <w:b/>
                <w:bCs/>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p>
          <w:p>
            <w:pPr>
              <w:widowControl/>
              <w:jc w:val="center"/>
              <w:rPr>
                <w:rFonts w:hAnsi="宋体"/>
                <w:color w:val="auto"/>
                <w:sz w:val="21"/>
                <w:szCs w:val="21"/>
                <w:highlight w:val="none"/>
              </w:rPr>
            </w:pPr>
          </w:p>
          <w:p>
            <w:pPr>
              <w:widowControl/>
              <w:jc w:val="center"/>
              <w:rPr>
                <w:rFonts w:hAnsi="宋体"/>
                <w:color w:val="auto"/>
                <w:sz w:val="21"/>
                <w:szCs w:val="21"/>
                <w:highlight w:val="none"/>
              </w:rPr>
            </w:pPr>
            <w:r>
              <w:rPr>
                <w:rFonts w:hint="eastAsia" w:hAnsi="宋体"/>
                <w:color w:val="auto"/>
                <w:sz w:val="21"/>
                <w:szCs w:val="21"/>
                <w:highlight w:val="none"/>
              </w:rPr>
              <w:t>1</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停车场入口</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保安</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客户车辆到达营销中心停车场入口，保安下岗亭询问客户“您好，欢迎光临旗云花园，请问您有预约看房吗”</w:t>
            </w:r>
          </w:p>
          <w:p>
            <w:pPr>
              <w:widowControl/>
              <w:rPr>
                <w:rFonts w:hAnsi="宋体"/>
                <w:color w:val="auto"/>
                <w:sz w:val="21"/>
                <w:szCs w:val="21"/>
                <w:highlight w:val="none"/>
              </w:rPr>
            </w:pPr>
            <w:r>
              <w:rPr>
                <w:rFonts w:hint="eastAsia" w:hAnsi="宋体"/>
                <w:color w:val="auto"/>
                <w:sz w:val="21"/>
                <w:szCs w:val="21"/>
                <w:highlight w:val="none"/>
              </w:rPr>
              <w:t>看房客户答复后——“好的，请往右边/左边停车”，同时用对讲机告知指引岗及营销中心岗同事准备接待工作。</w:t>
            </w:r>
          </w:p>
          <w:p>
            <w:pPr>
              <w:widowControl/>
              <w:rPr>
                <w:rFonts w:hAnsi="宋体"/>
                <w:color w:val="auto"/>
                <w:sz w:val="21"/>
                <w:szCs w:val="21"/>
                <w:highlight w:val="none"/>
              </w:rPr>
            </w:pPr>
            <w:r>
              <w:rPr>
                <w:rFonts w:hint="eastAsia" w:hAnsi="宋体"/>
                <w:color w:val="auto"/>
                <w:sz w:val="21"/>
                <w:szCs w:val="21"/>
                <w:highlight w:val="none"/>
              </w:rPr>
              <w:t>合作单位或其它外来车辆，确认后放行，同时用对讲机告知指引岗及营销中心岗同事。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p>
          <w:p>
            <w:pPr>
              <w:widowControl/>
              <w:jc w:val="center"/>
              <w:rPr>
                <w:rFonts w:hAnsi="宋体"/>
                <w:color w:val="auto"/>
                <w:sz w:val="21"/>
                <w:szCs w:val="21"/>
                <w:highlight w:val="none"/>
              </w:rPr>
            </w:pPr>
            <w:r>
              <w:rPr>
                <w:rFonts w:hint="eastAsia" w:hAnsi="宋体"/>
                <w:color w:val="auto"/>
                <w:sz w:val="21"/>
                <w:szCs w:val="21"/>
                <w:highlight w:val="none"/>
              </w:rPr>
              <w:t>2</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停车场指引</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保安</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客户车辆进入停车场，指引岗指引客户停车。待客户停好车后，缓开车门，致以亲切问候！“您好，欢迎光临旗云花园！”并帮客户关上车门。</w:t>
            </w:r>
          </w:p>
          <w:p>
            <w:pPr>
              <w:widowControl/>
              <w:rPr>
                <w:rFonts w:hAnsi="宋体"/>
                <w:color w:val="auto"/>
                <w:sz w:val="21"/>
                <w:szCs w:val="21"/>
                <w:highlight w:val="none"/>
              </w:rPr>
            </w:pPr>
            <w:r>
              <w:rPr>
                <w:rFonts w:hint="eastAsia" w:hAnsi="宋体"/>
                <w:color w:val="auto"/>
                <w:sz w:val="21"/>
                <w:szCs w:val="21"/>
                <w:highlight w:val="none"/>
              </w:rPr>
              <w:t>“这边请”，做出指引动作，并遮阳（雨）护送至营销中心。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p>
          <w:p>
            <w:pPr>
              <w:widowControl/>
              <w:jc w:val="center"/>
              <w:rPr>
                <w:rFonts w:hAnsi="宋体"/>
                <w:color w:val="auto"/>
                <w:sz w:val="21"/>
                <w:szCs w:val="21"/>
                <w:highlight w:val="none"/>
              </w:rPr>
            </w:pPr>
            <w:r>
              <w:rPr>
                <w:rFonts w:hint="eastAsia" w:hAnsi="宋体"/>
                <w:color w:val="auto"/>
                <w:sz w:val="21"/>
                <w:szCs w:val="21"/>
                <w:highlight w:val="none"/>
              </w:rPr>
              <w:t>3</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营销中心入口</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保安</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非开车客户——“您好！欢迎光临旗云花园，请问您有预约看房吗”</w:t>
            </w:r>
          </w:p>
          <w:p>
            <w:pPr>
              <w:widowControl/>
              <w:rPr>
                <w:rFonts w:hAnsi="宋体"/>
                <w:color w:val="auto"/>
                <w:sz w:val="21"/>
                <w:szCs w:val="21"/>
                <w:highlight w:val="none"/>
              </w:rPr>
            </w:pPr>
            <w:r>
              <w:rPr>
                <w:rFonts w:hint="eastAsia" w:hAnsi="宋体"/>
                <w:color w:val="auto"/>
                <w:sz w:val="21"/>
                <w:szCs w:val="21"/>
                <w:highlight w:val="none"/>
              </w:rPr>
              <w:t>看房客户答复后——转由销售经理进行接待。</w:t>
            </w:r>
          </w:p>
          <w:p>
            <w:pPr>
              <w:widowControl/>
              <w:rPr>
                <w:rFonts w:hAnsi="宋体"/>
                <w:color w:val="auto"/>
                <w:sz w:val="21"/>
                <w:szCs w:val="21"/>
                <w:highlight w:val="none"/>
              </w:rPr>
            </w:pPr>
            <w:r>
              <w:rPr>
                <w:rFonts w:hint="eastAsia" w:hAnsi="宋体"/>
                <w:color w:val="auto"/>
                <w:sz w:val="21"/>
                <w:szCs w:val="21"/>
                <w:highlight w:val="none"/>
              </w:rPr>
              <w:t>开车客户——“您好！欢迎光临旗云花园。”——转由销售经理进行接待。</w:t>
            </w:r>
          </w:p>
          <w:p>
            <w:pPr>
              <w:widowControl/>
              <w:rPr>
                <w:rFonts w:hAnsi="宋体"/>
                <w:color w:val="auto"/>
                <w:sz w:val="21"/>
                <w:szCs w:val="21"/>
                <w:highlight w:val="none"/>
              </w:rPr>
            </w:pPr>
            <w:r>
              <w:rPr>
                <w:rFonts w:hint="eastAsia" w:hAnsi="宋体"/>
                <w:color w:val="auto"/>
                <w:sz w:val="21"/>
                <w:szCs w:val="21"/>
                <w:highlight w:val="none"/>
              </w:rPr>
              <w:t>其它人员——确认事宜后方可放行。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r>
              <w:rPr>
                <w:rFonts w:hint="eastAsia" w:hAnsi="宋体"/>
                <w:color w:val="auto"/>
                <w:sz w:val="21"/>
                <w:szCs w:val="21"/>
                <w:highlight w:val="none"/>
              </w:rPr>
              <w:t>4</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洽谈区、吧台</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客服</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客服递上茶水，并向客户问好——“您好，请用茶”。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r>
              <w:rPr>
                <w:rFonts w:hint="eastAsia" w:hAnsi="宋体"/>
                <w:color w:val="auto"/>
                <w:sz w:val="21"/>
                <w:szCs w:val="21"/>
                <w:highlight w:val="none"/>
              </w:rPr>
              <w:t>5</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小区园林入口</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保安</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客户——刷卡进入——微笑服务。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p>
          <w:p>
            <w:pPr>
              <w:widowControl/>
              <w:jc w:val="center"/>
              <w:rPr>
                <w:rFonts w:hAnsi="宋体"/>
                <w:color w:val="auto"/>
                <w:sz w:val="21"/>
                <w:szCs w:val="21"/>
                <w:highlight w:val="none"/>
              </w:rPr>
            </w:pPr>
            <w:r>
              <w:rPr>
                <w:rFonts w:hint="eastAsia" w:hAnsi="宋体"/>
                <w:color w:val="auto"/>
                <w:sz w:val="21"/>
                <w:szCs w:val="21"/>
                <w:highlight w:val="none"/>
              </w:rPr>
              <w:t>6</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电梯厅</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客服</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当客户进入、离开时，提前按好电梯并按好层数，用单手挡住电梯门或按住下行按钮，防止电梯门突然关闭。规范用语：“您好，这边请。我们样板房在楼，祝您参观愉快。”“欢迎下次光临，请慢走。”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r>
              <w:rPr>
                <w:rFonts w:hint="eastAsia" w:hAnsi="宋体"/>
                <w:color w:val="auto"/>
                <w:sz w:val="21"/>
                <w:szCs w:val="21"/>
                <w:highlight w:val="none"/>
              </w:rPr>
              <w:t>7</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样板房</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客服</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当客户进入样板房时，按照说辞给客户介绍项目样板房。规范用语：“您好，欢迎参观。接下来由我为你介绍一下你所在的户型”。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Pr>
          <w:p>
            <w:pPr>
              <w:widowControl/>
              <w:jc w:val="center"/>
              <w:rPr>
                <w:rFonts w:hAnsi="宋体"/>
                <w:color w:val="auto"/>
                <w:sz w:val="21"/>
                <w:szCs w:val="21"/>
                <w:highlight w:val="none"/>
              </w:rPr>
            </w:pPr>
            <w:r>
              <w:rPr>
                <w:rFonts w:hint="eastAsia" w:hAnsi="宋体"/>
                <w:color w:val="auto"/>
                <w:sz w:val="21"/>
                <w:szCs w:val="21"/>
                <w:highlight w:val="none"/>
              </w:rPr>
              <w:t>8</w:t>
            </w:r>
          </w:p>
        </w:tc>
        <w:tc>
          <w:tcPr>
            <w:tcW w:w="984" w:type="dxa"/>
            <w:vAlign w:val="center"/>
          </w:tcPr>
          <w:p>
            <w:pPr>
              <w:widowControl/>
              <w:jc w:val="center"/>
              <w:rPr>
                <w:rFonts w:hAnsi="宋体"/>
                <w:color w:val="auto"/>
                <w:sz w:val="21"/>
                <w:szCs w:val="21"/>
                <w:highlight w:val="none"/>
              </w:rPr>
            </w:pPr>
            <w:r>
              <w:rPr>
                <w:rFonts w:hint="eastAsia" w:hAnsi="宋体"/>
                <w:color w:val="auto"/>
                <w:sz w:val="21"/>
                <w:szCs w:val="21"/>
                <w:highlight w:val="none"/>
              </w:rPr>
              <w:t>客户离开</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物业</w:t>
            </w:r>
          </w:p>
        </w:tc>
        <w:tc>
          <w:tcPr>
            <w:tcW w:w="614" w:type="dxa"/>
            <w:vAlign w:val="center"/>
          </w:tcPr>
          <w:p>
            <w:pPr>
              <w:widowControl/>
              <w:rPr>
                <w:rFonts w:hAnsi="宋体"/>
                <w:color w:val="auto"/>
                <w:sz w:val="21"/>
                <w:szCs w:val="21"/>
                <w:highlight w:val="none"/>
              </w:rPr>
            </w:pPr>
            <w:r>
              <w:rPr>
                <w:rFonts w:hint="eastAsia" w:hAnsi="宋体"/>
                <w:color w:val="auto"/>
                <w:sz w:val="21"/>
                <w:szCs w:val="21"/>
                <w:highlight w:val="none"/>
              </w:rPr>
              <w:t>保安</w:t>
            </w:r>
          </w:p>
        </w:tc>
        <w:tc>
          <w:tcPr>
            <w:tcW w:w="6317" w:type="dxa"/>
            <w:vAlign w:val="center"/>
          </w:tcPr>
          <w:p>
            <w:pPr>
              <w:widowControl/>
              <w:rPr>
                <w:rFonts w:hAnsi="宋体"/>
                <w:color w:val="auto"/>
                <w:sz w:val="21"/>
                <w:szCs w:val="21"/>
                <w:highlight w:val="none"/>
              </w:rPr>
            </w:pPr>
            <w:r>
              <w:rPr>
                <w:rFonts w:hint="eastAsia" w:hAnsi="宋体"/>
                <w:color w:val="auto"/>
                <w:sz w:val="21"/>
                <w:szCs w:val="21"/>
                <w:highlight w:val="none"/>
              </w:rPr>
              <w:t>停车指引岗保安帮客户拉开车门，送客户上车。客户离开时敬礼、目送。</w:t>
            </w:r>
          </w:p>
        </w:tc>
      </w:tr>
    </w:tbl>
    <w:p>
      <w:pPr>
        <w:pStyle w:val="2"/>
        <w:ind w:firstLine="0" w:firstLineChars="0"/>
        <w:rPr>
          <w:color w:val="auto"/>
          <w:highlight w:val="none"/>
        </w:rPr>
      </w:pPr>
    </w:p>
    <w:p>
      <w:pPr>
        <w:spacing w:line="520" w:lineRule="exact"/>
        <w:rPr>
          <w:b/>
          <w:color w:val="auto"/>
          <w:highlight w:val="none"/>
        </w:rPr>
      </w:pPr>
      <w:r>
        <w:rPr>
          <w:rFonts w:hint="eastAsia"/>
          <w:b/>
          <w:color w:val="auto"/>
          <w:highlight w:val="none"/>
        </w:rPr>
        <w:t>第五条</w:t>
      </w:r>
      <w:r>
        <w:rPr>
          <w:rFonts w:hint="eastAsia"/>
          <w:b/>
          <w:color w:val="auto"/>
          <w:highlight w:val="none"/>
          <w:lang w:val="en-US" w:eastAsia="zh-CN"/>
        </w:rPr>
        <w:t xml:space="preserve"> </w:t>
      </w:r>
      <w:r>
        <w:rPr>
          <w:rFonts w:hint="eastAsia"/>
          <w:b/>
          <w:color w:val="auto"/>
          <w:highlight w:val="none"/>
        </w:rPr>
        <w:t>各岗位工作纪律</w:t>
      </w:r>
    </w:p>
    <w:p>
      <w:pPr>
        <w:numPr>
          <w:ilvl w:val="0"/>
          <w:numId w:val="27"/>
        </w:numPr>
        <w:spacing w:line="520" w:lineRule="exact"/>
        <w:ind w:firstLine="0"/>
        <w:rPr>
          <w:color w:val="auto"/>
          <w:sz w:val="21"/>
          <w:szCs w:val="21"/>
          <w:highlight w:val="none"/>
        </w:rPr>
      </w:pPr>
      <w:r>
        <w:rPr>
          <w:rFonts w:hint="eastAsia"/>
          <w:color w:val="auto"/>
          <w:sz w:val="21"/>
          <w:szCs w:val="21"/>
          <w:highlight w:val="none"/>
        </w:rPr>
        <w:t>秩序维护岗</w:t>
      </w:r>
    </w:p>
    <w:p>
      <w:pPr>
        <w:numPr>
          <w:ilvl w:val="0"/>
          <w:numId w:val="28"/>
        </w:numPr>
        <w:tabs>
          <w:tab w:val="left" w:pos="900"/>
        </w:tabs>
        <w:spacing w:line="520" w:lineRule="exact"/>
        <w:ind w:left="425" w:leftChars="0" w:hanging="425" w:firstLineChars="0"/>
        <w:rPr>
          <w:color w:val="auto"/>
          <w:sz w:val="21"/>
          <w:szCs w:val="21"/>
          <w:highlight w:val="none"/>
        </w:rPr>
      </w:pPr>
      <w:r>
        <w:rPr>
          <w:rFonts w:hint="eastAsia"/>
          <w:color w:val="auto"/>
          <w:sz w:val="21"/>
          <w:szCs w:val="21"/>
          <w:highlight w:val="none"/>
        </w:rPr>
        <w:t>随时要保持职业风度，保持立正姿势，不能装手、抄手，叉腰或将手放在衣服口袋中，不得抓头，抠鼻子、敲桌子，玩弄其他物品；</w:t>
      </w:r>
    </w:p>
    <w:p>
      <w:pPr>
        <w:numPr>
          <w:ilvl w:val="0"/>
          <w:numId w:val="28"/>
        </w:numPr>
        <w:tabs>
          <w:tab w:val="left" w:pos="90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上岗不准</w:t>
      </w:r>
      <w:r>
        <w:rPr>
          <w:rFonts w:hint="eastAsia" w:hAnsi="宋体"/>
          <w:color w:val="auto"/>
          <w:sz w:val="21"/>
          <w:szCs w:val="21"/>
          <w:highlight w:val="none"/>
          <w:lang w:eastAsia="zh-CN"/>
        </w:rPr>
        <w:t>玩</w:t>
      </w:r>
      <w:r>
        <w:rPr>
          <w:rFonts w:hint="eastAsia" w:hAnsi="宋体"/>
          <w:color w:val="auto"/>
          <w:sz w:val="21"/>
          <w:szCs w:val="21"/>
          <w:highlight w:val="none"/>
        </w:rPr>
        <w:t>手机、不准拨打私人电话或将钥匙等物品挂在腰间；</w:t>
      </w:r>
    </w:p>
    <w:p>
      <w:pPr>
        <w:numPr>
          <w:ilvl w:val="0"/>
          <w:numId w:val="28"/>
        </w:numPr>
        <w:tabs>
          <w:tab w:val="left" w:pos="90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行走时要自然挺立，从容端庄，切记走路时旁若无人，漫不经心左右摇晃，上班前四小时不得喝酒或喝带酒精饮料，打喷嚏、咳嗽应转身向后；</w:t>
      </w:r>
    </w:p>
    <w:p>
      <w:pPr>
        <w:numPr>
          <w:ilvl w:val="0"/>
          <w:numId w:val="28"/>
        </w:numPr>
        <w:tabs>
          <w:tab w:val="left" w:pos="90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与人交谈时应保持适当距离。（1米为宜），表情自然大方，保持正面平视，态度亲切，诚恳，语言清晰易懂，音量适中，使用普通话。谈吐要文雅，多使用敬语，如“请”“谢谢”“对不起”“不客气”“这是我们应该做的”等，最忌粗俗口头语；</w:t>
      </w:r>
    </w:p>
    <w:p>
      <w:pPr>
        <w:numPr>
          <w:ilvl w:val="0"/>
          <w:numId w:val="28"/>
        </w:numPr>
        <w:tabs>
          <w:tab w:val="left" w:pos="90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正确称呼客人，在姓氏后面加上先生、小姐、女士等称呼用语，不知道姓氏时，可用“这位先生”“这位小姐”等，不可用“你</w:t>
      </w:r>
      <w:r>
        <w:rPr>
          <w:rFonts w:hAnsi="宋体"/>
          <w:color w:val="auto"/>
          <w:sz w:val="21"/>
          <w:szCs w:val="21"/>
          <w:highlight w:val="none"/>
        </w:rPr>
        <w:t>””</w:t>
      </w:r>
      <w:r>
        <w:rPr>
          <w:rFonts w:hint="eastAsia" w:hAnsi="宋体"/>
          <w:color w:val="auto"/>
          <w:sz w:val="21"/>
          <w:szCs w:val="21"/>
          <w:highlight w:val="none"/>
        </w:rPr>
        <w:t>他”等人称代词表示客人；</w:t>
      </w:r>
    </w:p>
    <w:p>
      <w:pPr>
        <w:numPr>
          <w:ilvl w:val="0"/>
          <w:numId w:val="28"/>
        </w:numPr>
        <w:tabs>
          <w:tab w:val="left" w:pos="90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应答领导、客人时不可简单的说“不知道”“没有”“不行”尽量使用婉转语言拒绝客人的不合理要求，如“对不起，我们不能这样做”；</w:t>
      </w:r>
    </w:p>
    <w:p>
      <w:pPr>
        <w:numPr>
          <w:ilvl w:val="0"/>
          <w:numId w:val="28"/>
        </w:numPr>
        <w:tabs>
          <w:tab w:val="left" w:pos="90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领导、客人之间在交谈时，不可去旁听，不插嘴，如与其有事相商，可暂待一旁，目视其谈话，待其谈话间歇是在插入，“对不起，可打扰一下吗？”然后尽快说完并向领导、客人致歉；</w:t>
      </w:r>
    </w:p>
    <w:p>
      <w:pPr>
        <w:numPr>
          <w:ilvl w:val="0"/>
          <w:numId w:val="28"/>
        </w:numPr>
        <w:tabs>
          <w:tab w:val="left" w:pos="90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上班时间谢绝亲友探访；</w:t>
      </w:r>
    </w:p>
    <w:p>
      <w:pPr>
        <w:numPr>
          <w:ilvl w:val="0"/>
          <w:numId w:val="28"/>
        </w:numPr>
        <w:tabs>
          <w:tab w:val="left" w:pos="90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当班时不允许干私活，不许读书看报，不许阅读杂志，不许吸烟或吃东西、睡岗。</w:t>
      </w:r>
    </w:p>
    <w:p>
      <w:pPr>
        <w:numPr>
          <w:ilvl w:val="0"/>
          <w:numId w:val="27"/>
        </w:numPr>
        <w:spacing w:line="520" w:lineRule="exact"/>
        <w:ind w:firstLine="0"/>
        <w:rPr>
          <w:color w:val="auto"/>
          <w:sz w:val="21"/>
          <w:szCs w:val="21"/>
          <w:highlight w:val="none"/>
        </w:rPr>
      </w:pPr>
      <w:r>
        <w:rPr>
          <w:rFonts w:hint="eastAsia"/>
          <w:color w:val="auto"/>
          <w:sz w:val="21"/>
          <w:szCs w:val="21"/>
          <w:highlight w:val="none"/>
        </w:rPr>
        <w:t>保洁岗</w:t>
      </w:r>
    </w:p>
    <w:p>
      <w:pPr>
        <w:numPr>
          <w:ilvl w:val="0"/>
          <w:numId w:val="29"/>
        </w:numPr>
        <w:tabs>
          <w:tab w:val="left" w:pos="84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上下班要准时，不迟到、不早退；上下班按时签到、签退；</w:t>
      </w:r>
    </w:p>
    <w:p>
      <w:pPr>
        <w:numPr>
          <w:ilvl w:val="0"/>
          <w:numId w:val="29"/>
        </w:numPr>
        <w:tabs>
          <w:tab w:val="left" w:pos="84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注意仪容、仪表及个人卫生，按要求穿着整齐干净的制服、鞋袜，佩戴工牌，女员工头发梳理整齐盘好，男员工不留长发、胡须；所有员工不留长指甲；</w:t>
      </w:r>
    </w:p>
    <w:p>
      <w:pPr>
        <w:numPr>
          <w:ilvl w:val="0"/>
          <w:numId w:val="29"/>
        </w:numPr>
        <w:tabs>
          <w:tab w:val="left" w:pos="84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签到后马上去所属岗位报到，不能借口在其他区域逗留而不上岗；上班后不能大声喧哗、搭肩、追逐、吵闹及吹口哨；</w:t>
      </w:r>
    </w:p>
    <w:p>
      <w:pPr>
        <w:numPr>
          <w:ilvl w:val="0"/>
          <w:numId w:val="29"/>
        </w:numPr>
        <w:tabs>
          <w:tab w:val="left" w:pos="84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经常保持礼貌状态，遇到宾客时要用礼貌的文明用语，如：“你好”“再见”等。遇到客人时，应主动侧身让行，不可以和客人抢行或并排；</w:t>
      </w:r>
    </w:p>
    <w:p>
      <w:pPr>
        <w:numPr>
          <w:ilvl w:val="0"/>
          <w:numId w:val="29"/>
        </w:numPr>
        <w:tabs>
          <w:tab w:val="left" w:pos="84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如发现任何嫌疑人、可疑物、可疑事件，应立即报告现场管理人员或向公司报告；</w:t>
      </w:r>
    </w:p>
    <w:p>
      <w:pPr>
        <w:numPr>
          <w:ilvl w:val="0"/>
          <w:numId w:val="29"/>
        </w:numPr>
        <w:tabs>
          <w:tab w:val="left" w:pos="84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不得将客人情况向他人泄密，不要在客人面前议论其他客人或员工；</w:t>
      </w:r>
    </w:p>
    <w:p>
      <w:pPr>
        <w:numPr>
          <w:ilvl w:val="0"/>
          <w:numId w:val="29"/>
        </w:numPr>
        <w:tabs>
          <w:tab w:val="left" w:pos="84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服从上级领导的安排或调动，听从指示，按时、按质、按要求完成工作，接受上司的检查和批评，立即改正错误，不得顶撞或借口推脱；</w:t>
      </w:r>
    </w:p>
    <w:p>
      <w:pPr>
        <w:numPr>
          <w:ilvl w:val="0"/>
          <w:numId w:val="29"/>
        </w:numPr>
        <w:tabs>
          <w:tab w:val="left" w:pos="84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上班时间谢绝亲友探访，当班时不准干私活，不许读书看报，不许阅读杂志，不许吸烟或吃东西；</w:t>
      </w:r>
    </w:p>
    <w:p>
      <w:pPr>
        <w:numPr>
          <w:ilvl w:val="0"/>
          <w:numId w:val="29"/>
        </w:numPr>
        <w:tabs>
          <w:tab w:val="left" w:pos="840"/>
        </w:tabs>
        <w:spacing w:line="520" w:lineRule="exact"/>
        <w:ind w:left="425" w:leftChars="0" w:hanging="425" w:firstLineChars="0"/>
        <w:rPr>
          <w:rFonts w:hAnsi="宋体"/>
          <w:color w:val="auto"/>
          <w:sz w:val="21"/>
          <w:szCs w:val="21"/>
          <w:highlight w:val="none"/>
        </w:rPr>
      </w:pPr>
      <w:r>
        <w:rPr>
          <w:rFonts w:hint="eastAsia" w:hAnsi="宋体"/>
          <w:color w:val="auto"/>
          <w:sz w:val="21"/>
          <w:szCs w:val="21"/>
          <w:highlight w:val="none"/>
        </w:rPr>
        <w:t>上班时间不得在更衣室内或其它地方闲谈或睡觉，不得窜到其他地方闲逛；如去卫生间或其他地点应该有领导同意方可，同时告诉自己周围的同事让其他人知道自己所在位置。</w:t>
      </w:r>
    </w:p>
    <w:p>
      <w:pPr>
        <w:pStyle w:val="2"/>
        <w:rPr>
          <w:color w:val="auto"/>
          <w:highlight w:val="none"/>
        </w:rPr>
      </w:pPr>
    </w:p>
    <w:p>
      <w:pPr>
        <w:spacing w:line="520" w:lineRule="exact"/>
        <w:rPr>
          <w:rFonts w:hAnsi="宋体"/>
          <w:color w:val="auto"/>
          <w:sz w:val="24"/>
          <w:szCs w:val="24"/>
          <w:highlight w:val="none"/>
        </w:rPr>
      </w:pPr>
      <w:r>
        <w:rPr>
          <w:rFonts w:hint="eastAsia" w:hAnsi="宋体"/>
          <w:b/>
          <w:color w:val="auto"/>
          <w:sz w:val="24"/>
          <w:szCs w:val="24"/>
          <w:highlight w:val="none"/>
        </w:rPr>
        <w:t>第六条</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工作礼仪</w:t>
      </w:r>
    </w:p>
    <w:p>
      <w:pPr>
        <w:keepNext w:val="0"/>
        <w:keepLines w:val="0"/>
        <w:pageBreakBefore w:val="0"/>
        <w:widowControl w:val="0"/>
        <w:numPr>
          <w:ilvl w:val="0"/>
          <w:numId w:val="30"/>
        </w:numPr>
        <w:tabs>
          <w:tab w:val="left" w:pos="1260"/>
        </w:tabs>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和蔼可亲，温文尔雅，保持微笑，精神振奋，情绪饱满，不卑不亢；</w:t>
      </w:r>
    </w:p>
    <w:p>
      <w:pPr>
        <w:keepNext w:val="0"/>
        <w:keepLines w:val="0"/>
        <w:pageBreakBefore w:val="0"/>
        <w:widowControl w:val="0"/>
        <w:numPr>
          <w:ilvl w:val="0"/>
          <w:numId w:val="30"/>
        </w:numPr>
        <w:tabs>
          <w:tab w:val="left" w:pos="1260"/>
        </w:tabs>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树立正确的人生观，价值观，工作中充满爱心、对客人的爱心、对本职工作的爱心；</w:t>
      </w:r>
    </w:p>
    <w:p>
      <w:pPr>
        <w:keepNext w:val="0"/>
        <w:keepLines w:val="0"/>
        <w:pageBreakBefore w:val="0"/>
        <w:widowControl w:val="0"/>
        <w:numPr>
          <w:ilvl w:val="0"/>
          <w:numId w:val="30"/>
        </w:numPr>
        <w:tabs>
          <w:tab w:val="left" w:pos="1260"/>
        </w:tabs>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为客人服务时，不准流露出厌烦、冷淡、愤怒、恐惧等表现，亦不能扭捏作态，做鬼脸，吐舌、眨眼；</w:t>
      </w:r>
    </w:p>
    <w:p>
      <w:pPr>
        <w:keepNext w:val="0"/>
        <w:keepLines w:val="0"/>
        <w:pageBreakBefore w:val="0"/>
        <w:widowControl w:val="0"/>
        <w:numPr>
          <w:ilvl w:val="0"/>
          <w:numId w:val="30"/>
        </w:numPr>
        <w:tabs>
          <w:tab w:val="left" w:pos="1260"/>
        </w:tabs>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遇到认识的领导、客人，应先敬礼微笑，打招呼问好；</w:t>
      </w:r>
    </w:p>
    <w:p>
      <w:pPr>
        <w:keepNext w:val="0"/>
        <w:keepLines w:val="0"/>
        <w:pageBreakBefore w:val="0"/>
        <w:widowControl w:val="0"/>
        <w:numPr>
          <w:ilvl w:val="0"/>
          <w:numId w:val="30"/>
        </w:numPr>
        <w:tabs>
          <w:tab w:val="left" w:pos="1260"/>
        </w:tabs>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领导或客人到来之前，应保持基本站势，通过观察，迅速准确理解其目的，尽快出迎，人到，微笑到，礼貌用语到，并切实提供服务；</w:t>
      </w:r>
    </w:p>
    <w:p>
      <w:pPr>
        <w:keepNext w:val="0"/>
        <w:keepLines w:val="0"/>
        <w:pageBreakBefore w:val="0"/>
        <w:widowControl w:val="0"/>
        <w:numPr>
          <w:ilvl w:val="0"/>
          <w:numId w:val="30"/>
        </w:numPr>
        <w:tabs>
          <w:tab w:val="left" w:pos="1260"/>
        </w:tabs>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当客人提出不属于你本人工作职责的要求、愿望、询问、投诉时，都必须代表公司接待、安排、指引，采取一些必要措施当场解决，不可推诿，或将顾客搁一边；</w:t>
      </w:r>
    </w:p>
    <w:p>
      <w:pPr>
        <w:keepNext w:val="0"/>
        <w:keepLines w:val="0"/>
        <w:pageBreakBefore w:val="0"/>
        <w:widowControl w:val="0"/>
        <w:numPr>
          <w:ilvl w:val="0"/>
          <w:numId w:val="30"/>
        </w:numPr>
        <w:tabs>
          <w:tab w:val="left" w:pos="1260"/>
        </w:tabs>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服务要一致对外，任何一个内部问题及差错都在内部解决，不暴露在顾客面前；</w:t>
      </w:r>
    </w:p>
    <w:p>
      <w:pPr>
        <w:keepNext w:val="0"/>
        <w:keepLines w:val="0"/>
        <w:pageBreakBefore w:val="0"/>
        <w:widowControl w:val="0"/>
        <w:numPr>
          <w:ilvl w:val="0"/>
          <w:numId w:val="30"/>
        </w:numPr>
        <w:tabs>
          <w:tab w:val="left" w:pos="1260"/>
        </w:tabs>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必须树立“正确”“快速”的服务理念，谈话，应答，操作都要求“准”“快”，对客户的询问，如有不清楚，应向同事，上级确认后再准确回答，不可凭空想象，平时要特别训练基本功，不可让顾客等得不耐烦；与人的方便，如递送文稿，应保持对方使用的状态，递尖锐物，尖端不指向对方；</w:t>
      </w:r>
    </w:p>
    <w:p>
      <w:pPr>
        <w:keepNext w:val="0"/>
        <w:keepLines w:val="0"/>
        <w:pageBreakBefore w:val="0"/>
        <w:widowControl w:val="0"/>
        <w:numPr>
          <w:ilvl w:val="0"/>
          <w:numId w:val="30"/>
        </w:numPr>
        <w:tabs>
          <w:tab w:val="left" w:pos="1260"/>
        </w:tabs>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不可将不愉快的个人情绪，带到工作中来，善于做自我情绪调节，控制消除不良情绪，若因情绪难于控制不适合上岗工作，应向上级说明情况，请假休息，待康复后才上岗；</w:t>
      </w:r>
    </w:p>
    <w:p>
      <w:pPr>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简单投诉，凡自己能处理的，就应负责到底，解决不了的问题，报告上级，事关重大的投诉，切不可轻易地将所有的错误都承担下来，因这可能造成公司重大损失；</w:t>
      </w:r>
    </w:p>
    <w:p>
      <w:pPr>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hAnsi="宋体"/>
          <w:b w:val="0"/>
          <w:bCs w:val="0"/>
          <w:color w:val="auto"/>
          <w:sz w:val="21"/>
          <w:szCs w:val="21"/>
          <w:highlight w:val="none"/>
        </w:rPr>
        <w:t>工作中应竭尽全力不出差错，一旦因自己的差错引起客户不满应郑重道歉，对其他同事的差错，也应视作自己的差错主动向客户道歉。由于自己的差错导致损失时</w:t>
      </w:r>
      <w:r>
        <w:rPr>
          <w:rFonts w:hint="eastAsia"/>
          <w:b w:val="0"/>
          <w:bCs w:val="0"/>
          <w:color w:val="auto"/>
          <w:sz w:val="21"/>
          <w:szCs w:val="21"/>
          <w:highlight w:val="none"/>
        </w:rPr>
        <w:t>，不可擅自草率处理，掩盖事实，这只有使事态恶化，而应及时上报，等待处理；</w:t>
      </w:r>
    </w:p>
    <w:p>
      <w:pPr>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b w:val="0"/>
          <w:bCs w:val="0"/>
          <w:color w:val="auto"/>
          <w:sz w:val="21"/>
          <w:szCs w:val="21"/>
          <w:highlight w:val="none"/>
        </w:rPr>
        <w:t>牢记对顾客说的每句话都代表公司，必须言而有信，对自己的言行负责，不可信口开河，失信于人；</w:t>
      </w:r>
    </w:p>
    <w:p>
      <w:pPr>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firstLine="0"/>
        <w:textAlignment w:val="auto"/>
        <w:rPr>
          <w:rFonts w:hAnsi="宋体"/>
          <w:b w:val="0"/>
          <w:bCs w:val="0"/>
          <w:color w:val="auto"/>
          <w:sz w:val="21"/>
          <w:szCs w:val="21"/>
          <w:highlight w:val="none"/>
        </w:rPr>
      </w:pPr>
      <w:r>
        <w:rPr>
          <w:rFonts w:hint="eastAsia"/>
          <w:b w:val="0"/>
          <w:bCs w:val="0"/>
          <w:color w:val="auto"/>
          <w:sz w:val="21"/>
          <w:szCs w:val="21"/>
          <w:highlight w:val="none"/>
        </w:rPr>
        <w:t>尊重他人的宗教信仰，风俗习惯，不可乱发议</w:t>
      </w:r>
      <w:r>
        <w:rPr>
          <w:rFonts w:hint="eastAsia" w:hAnsi="宋体"/>
          <w:b w:val="0"/>
          <w:bCs w:val="0"/>
          <w:color w:val="auto"/>
          <w:sz w:val="21"/>
          <w:szCs w:val="21"/>
          <w:highlight w:val="none"/>
        </w:rPr>
        <w:t>。</w:t>
      </w:r>
    </w:p>
    <w:p>
      <w:pPr>
        <w:pStyle w:val="2"/>
        <w:rPr>
          <w:color w:val="auto"/>
          <w:highlight w:val="none"/>
        </w:rPr>
      </w:pPr>
    </w:p>
    <w:p>
      <w:pPr>
        <w:spacing w:line="520" w:lineRule="exact"/>
        <w:rPr>
          <w:rFonts w:hAnsi="宋体"/>
          <w:b/>
          <w:color w:val="auto"/>
          <w:sz w:val="24"/>
          <w:szCs w:val="24"/>
          <w:highlight w:val="none"/>
        </w:rPr>
      </w:pPr>
      <w:r>
        <w:rPr>
          <w:rFonts w:hint="eastAsia" w:hAnsi="宋体"/>
          <w:b/>
          <w:color w:val="auto"/>
          <w:sz w:val="24"/>
          <w:szCs w:val="24"/>
          <w:highlight w:val="none"/>
        </w:rPr>
        <w:t>第七条</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物业服务管理质量考核</w:t>
      </w:r>
    </w:p>
    <w:p>
      <w:pPr>
        <w:keepNext w:val="0"/>
        <w:keepLines w:val="0"/>
        <w:pageBreakBefore w:val="0"/>
        <w:widowControl/>
        <w:numPr>
          <w:ilvl w:val="0"/>
          <w:numId w:val="31"/>
        </w:numPr>
        <w:kinsoku/>
        <w:wordWrap/>
        <w:overflowPunct/>
        <w:topLinePunct w:val="0"/>
        <w:autoSpaceDE w:val="0"/>
        <w:autoSpaceDN w:val="0"/>
        <w:bidi w:val="0"/>
        <w:adjustRightInd w:val="0"/>
        <w:snapToGrid/>
        <w:spacing w:line="360" w:lineRule="auto"/>
        <w:ind w:firstLine="0"/>
        <w:textAlignment w:val="auto"/>
        <w:rPr>
          <w:rFonts w:hAnsi="宋体"/>
          <w:color w:val="auto"/>
          <w:sz w:val="21"/>
          <w:szCs w:val="21"/>
          <w:highlight w:val="none"/>
        </w:rPr>
      </w:pPr>
      <w:r>
        <w:rPr>
          <w:rFonts w:hint="eastAsia" w:hAnsi="宋体"/>
          <w:color w:val="auto"/>
          <w:sz w:val="21"/>
          <w:szCs w:val="21"/>
          <w:highlight w:val="none"/>
        </w:rPr>
        <w:t>为加强物业管理工作监督检查，落实管理责任，提高服务质量，搞好物业管理服务。甲方决定对乙方实施考核管理，考核实行月度考评和日常考核制度。</w:t>
      </w:r>
    </w:p>
    <w:p>
      <w:pPr>
        <w:keepNext w:val="0"/>
        <w:keepLines w:val="0"/>
        <w:pageBreakBefore w:val="0"/>
        <w:widowControl/>
        <w:numPr>
          <w:ilvl w:val="0"/>
          <w:numId w:val="31"/>
        </w:numPr>
        <w:kinsoku/>
        <w:wordWrap/>
        <w:overflowPunct/>
        <w:topLinePunct w:val="0"/>
        <w:autoSpaceDE w:val="0"/>
        <w:autoSpaceDN w:val="0"/>
        <w:bidi w:val="0"/>
        <w:adjustRightInd w:val="0"/>
        <w:snapToGrid/>
        <w:spacing w:line="360" w:lineRule="auto"/>
        <w:ind w:firstLine="0"/>
        <w:textAlignment w:val="auto"/>
        <w:rPr>
          <w:rFonts w:hAnsi="宋体"/>
          <w:color w:val="auto"/>
          <w:sz w:val="21"/>
          <w:szCs w:val="21"/>
          <w:highlight w:val="none"/>
        </w:rPr>
      </w:pPr>
      <w:r>
        <w:rPr>
          <w:rFonts w:hint="eastAsia" w:hAnsi="宋体"/>
          <w:color w:val="auto"/>
          <w:sz w:val="21"/>
          <w:szCs w:val="21"/>
          <w:highlight w:val="none"/>
        </w:rPr>
        <w:t>月度考核按自然月进行，由甲方相关部门负责人按保安、保洁月度考评量表对项目销售中心案场管理服务质量进行综合考评，作为物业管理月度绩效考评依据。</w:t>
      </w:r>
    </w:p>
    <w:p>
      <w:pPr>
        <w:keepNext w:val="0"/>
        <w:keepLines w:val="0"/>
        <w:pageBreakBefore w:val="0"/>
        <w:widowControl/>
        <w:numPr>
          <w:ilvl w:val="0"/>
          <w:numId w:val="31"/>
        </w:numPr>
        <w:kinsoku/>
        <w:wordWrap/>
        <w:overflowPunct/>
        <w:topLinePunct w:val="0"/>
        <w:autoSpaceDE w:val="0"/>
        <w:autoSpaceDN w:val="0"/>
        <w:bidi w:val="0"/>
        <w:adjustRightInd w:val="0"/>
        <w:snapToGrid/>
        <w:spacing w:line="360" w:lineRule="auto"/>
        <w:ind w:firstLine="0"/>
        <w:textAlignment w:val="auto"/>
        <w:rPr>
          <w:rFonts w:hAnsi="宋体"/>
          <w:color w:val="auto"/>
          <w:sz w:val="21"/>
          <w:szCs w:val="21"/>
          <w:highlight w:val="none"/>
        </w:rPr>
      </w:pPr>
      <w:r>
        <w:rPr>
          <w:rFonts w:hint="eastAsia" w:hAnsi="宋体"/>
          <w:color w:val="auto"/>
          <w:sz w:val="21"/>
          <w:szCs w:val="21"/>
          <w:highlight w:val="none"/>
        </w:rPr>
        <w:t>项目销售中心案场管理服务月度绩效考核结果得分在90以上，甲方按本</w:t>
      </w:r>
      <w:r>
        <w:rPr>
          <w:rFonts w:hint="eastAsia" w:hAnsi="宋体"/>
          <w:color w:val="auto"/>
          <w:sz w:val="21"/>
          <w:szCs w:val="21"/>
          <w:highlight w:val="none"/>
          <w:lang w:eastAsia="zh-CN"/>
        </w:rPr>
        <w:t>合同</w:t>
      </w:r>
      <w:r>
        <w:rPr>
          <w:rFonts w:hint="eastAsia" w:hAnsi="宋体"/>
          <w:color w:val="auto"/>
          <w:sz w:val="21"/>
          <w:szCs w:val="21"/>
          <w:highlight w:val="none"/>
        </w:rPr>
        <w:t>向乙方支付全额费用；得分在80-90之间，按本</w:t>
      </w:r>
      <w:r>
        <w:rPr>
          <w:rFonts w:hint="eastAsia" w:hAnsi="宋体"/>
          <w:color w:val="auto"/>
          <w:sz w:val="21"/>
          <w:szCs w:val="21"/>
          <w:highlight w:val="none"/>
          <w:lang w:eastAsia="zh-CN"/>
        </w:rPr>
        <w:t>合同</w:t>
      </w:r>
      <w:r>
        <w:rPr>
          <w:rFonts w:hint="eastAsia" w:hAnsi="宋体"/>
          <w:color w:val="auto"/>
          <w:sz w:val="21"/>
          <w:szCs w:val="21"/>
          <w:highlight w:val="none"/>
        </w:rPr>
        <w:t>金额的90%支付；得分在70-80之间，按本</w:t>
      </w:r>
      <w:r>
        <w:rPr>
          <w:rFonts w:hint="eastAsia" w:hAnsi="宋体"/>
          <w:color w:val="auto"/>
          <w:sz w:val="21"/>
          <w:szCs w:val="21"/>
          <w:highlight w:val="none"/>
          <w:lang w:eastAsia="zh-CN"/>
        </w:rPr>
        <w:t>合同</w:t>
      </w:r>
      <w:r>
        <w:rPr>
          <w:rFonts w:hint="eastAsia" w:hAnsi="宋体"/>
          <w:color w:val="auto"/>
          <w:sz w:val="21"/>
          <w:szCs w:val="21"/>
          <w:highlight w:val="none"/>
        </w:rPr>
        <w:t>金额的80%支付，责令限期整改；得分在60-70之间，按本</w:t>
      </w:r>
      <w:r>
        <w:rPr>
          <w:rFonts w:hint="eastAsia" w:hAnsi="宋体"/>
          <w:color w:val="auto"/>
          <w:sz w:val="21"/>
          <w:szCs w:val="21"/>
          <w:highlight w:val="none"/>
          <w:lang w:eastAsia="zh-CN"/>
        </w:rPr>
        <w:t>合同</w:t>
      </w:r>
      <w:r>
        <w:rPr>
          <w:rFonts w:hint="eastAsia" w:hAnsi="宋体"/>
          <w:color w:val="auto"/>
          <w:sz w:val="21"/>
          <w:szCs w:val="21"/>
          <w:highlight w:val="none"/>
        </w:rPr>
        <w:t>金额的70%支付，责令限期整改；得分在60分以下，按本</w:t>
      </w:r>
      <w:r>
        <w:rPr>
          <w:rFonts w:hint="eastAsia" w:hAnsi="宋体"/>
          <w:color w:val="auto"/>
          <w:sz w:val="21"/>
          <w:szCs w:val="21"/>
          <w:highlight w:val="none"/>
          <w:lang w:eastAsia="zh-CN"/>
        </w:rPr>
        <w:t>合同</w:t>
      </w:r>
      <w:r>
        <w:rPr>
          <w:rFonts w:hint="eastAsia" w:hAnsi="宋体"/>
          <w:color w:val="auto"/>
          <w:sz w:val="21"/>
          <w:szCs w:val="21"/>
          <w:highlight w:val="none"/>
        </w:rPr>
        <w:t>金额的50%支付，且甲方有权解除本</w:t>
      </w:r>
      <w:r>
        <w:rPr>
          <w:rFonts w:hint="eastAsia" w:hAnsi="宋体"/>
          <w:color w:val="auto"/>
          <w:sz w:val="21"/>
          <w:szCs w:val="21"/>
          <w:highlight w:val="none"/>
          <w:lang w:eastAsia="zh-CN"/>
        </w:rPr>
        <w:t>合同</w:t>
      </w:r>
      <w:r>
        <w:rPr>
          <w:rFonts w:hint="eastAsia" w:hAnsi="宋体"/>
          <w:color w:val="auto"/>
          <w:sz w:val="21"/>
          <w:szCs w:val="21"/>
          <w:highlight w:val="none"/>
        </w:rPr>
        <w:t>并没收履约保证金。（详见附件：《物业管理考核细则》）</w:t>
      </w:r>
    </w:p>
    <w:p>
      <w:pPr>
        <w:keepNext w:val="0"/>
        <w:keepLines w:val="0"/>
        <w:pageBreakBefore w:val="0"/>
        <w:widowControl/>
        <w:numPr>
          <w:ilvl w:val="0"/>
          <w:numId w:val="31"/>
        </w:numPr>
        <w:kinsoku/>
        <w:wordWrap/>
        <w:overflowPunct/>
        <w:topLinePunct w:val="0"/>
        <w:autoSpaceDE w:val="0"/>
        <w:autoSpaceDN w:val="0"/>
        <w:bidi w:val="0"/>
        <w:adjustRightInd w:val="0"/>
        <w:snapToGrid/>
        <w:spacing w:line="360" w:lineRule="auto"/>
        <w:ind w:firstLine="0"/>
        <w:textAlignment w:val="auto"/>
        <w:rPr>
          <w:rFonts w:hAnsi="宋体"/>
          <w:color w:val="auto"/>
          <w:sz w:val="21"/>
          <w:szCs w:val="21"/>
          <w:highlight w:val="none"/>
        </w:rPr>
      </w:pPr>
      <w:r>
        <w:rPr>
          <w:rFonts w:hint="eastAsia" w:hAnsi="宋体"/>
          <w:color w:val="auto"/>
          <w:sz w:val="21"/>
          <w:szCs w:val="21"/>
          <w:highlight w:val="none"/>
        </w:rPr>
        <w:t>物业管理考核实施环节：</w:t>
      </w:r>
    </w:p>
    <w:p>
      <w:pPr>
        <w:widowControl/>
        <w:numPr>
          <w:ilvl w:val="0"/>
          <w:numId w:val="32"/>
        </w:numPr>
        <w:spacing w:line="360" w:lineRule="auto"/>
        <w:ind w:left="425" w:leftChars="0" w:hanging="425" w:firstLineChars="0"/>
        <w:rPr>
          <w:rFonts w:hAnsi="宋体"/>
          <w:color w:val="auto"/>
          <w:sz w:val="21"/>
          <w:szCs w:val="21"/>
          <w:highlight w:val="none"/>
        </w:rPr>
      </w:pPr>
      <w:r>
        <w:rPr>
          <w:rFonts w:hint="eastAsia" w:hAnsi="宋体"/>
          <w:color w:val="auto"/>
          <w:sz w:val="21"/>
          <w:szCs w:val="21"/>
          <w:highlight w:val="none"/>
        </w:rPr>
        <w:t>日常考核由甲方主管，东莞市旗山投资发展有限公司（以下简称“旗山公司”）市场运营部协管。</w:t>
      </w:r>
    </w:p>
    <w:p>
      <w:pPr>
        <w:widowControl/>
        <w:numPr>
          <w:ilvl w:val="0"/>
          <w:numId w:val="32"/>
        </w:numPr>
        <w:spacing w:line="360" w:lineRule="auto"/>
        <w:ind w:left="425" w:leftChars="0" w:hanging="425" w:firstLineChars="0"/>
        <w:rPr>
          <w:rFonts w:hAnsi="宋体"/>
          <w:color w:val="auto"/>
          <w:sz w:val="21"/>
          <w:szCs w:val="21"/>
          <w:highlight w:val="none"/>
        </w:rPr>
      </w:pPr>
      <w:r>
        <w:rPr>
          <w:rFonts w:hint="eastAsia" w:hAnsi="宋体"/>
          <w:color w:val="auto"/>
          <w:sz w:val="21"/>
          <w:szCs w:val="21"/>
          <w:highlight w:val="none"/>
        </w:rPr>
        <w:t>物业主管部门在日常工作中发现问题必须及时纠正，并就发现的问题出具处罚单，经责任人签字确认后，交旗山公司备案；旗山公司协管部门在日常工作中如发现问题应及时通知物业主管部门，由物业主管部门当场出具处罚单，经责任人签字确认后，交旗山公司备案。</w:t>
      </w:r>
    </w:p>
    <w:p>
      <w:pPr>
        <w:widowControl/>
        <w:numPr>
          <w:ilvl w:val="0"/>
          <w:numId w:val="32"/>
        </w:numPr>
        <w:spacing w:line="360" w:lineRule="auto"/>
        <w:ind w:left="425" w:leftChars="0" w:hanging="425" w:firstLineChars="0"/>
        <w:rPr>
          <w:rFonts w:hAnsi="宋体"/>
          <w:color w:val="auto"/>
          <w:sz w:val="21"/>
          <w:szCs w:val="21"/>
          <w:highlight w:val="none"/>
        </w:rPr>
      </w:pPr>
      <w:r>
        <w:rPr>
          <w:rFonts w:hint="eastAsia" w:hAnsi="宋体"/>
          <w:color w:val="auto"/>
          <w:sz w:val="21"/>
          <w:szCs w:val="21"/>
          <w:highlight w:val="none"/>
        </w:rPr>
        <w:t>月度考核在每月底之前完成，由</w:t>
      </w:r>
      <w:r>
        <w:rPr>
          <w:rFonts w:hint="eastAsia" w:hAnsi="宋体"/>
          <w:color w:val="auto"/>
          <w:sz w:val="21"/>
          <w:szCs w:val="21"/>
          <w:highlight w:val="none"/>
          <w:lang w:eastAsia="zh-CN"/>
        </w:rPr>
        <w:t>甲方</w:t>
      </w:r>
      <w:r>
        <w:rPr>
          <w:rFonts w:hint="eastAsia" w:hAnsi="宋体"/>
          <w:color w:val="auto"/>
          <w:sz w:val="21"/>
          <w:szCs w:val="21"/>
          <w:highlight w:val="none"/>
        </w:rPr>
        <w:t>根据当月物业服务综合质量，结合日常考核结果，对保安、保洁进行分项统计和评分，月度考核结果报旗山公司审批备案后，发送乙方。</w:t>
      </w:r>
    </w:p>
    <w:p>
      <w:pPr>
        <w:widowControl/>
        <w:numPr>
          <w:ilvl w:val="0"/>
          <w:numId w:val="32"/>
        </w:numPr>
        <w:spacing w:line="360" w:lineRule="auto"/>
        <w:ind w:left="425" w:leftChars="0" w:hanging="425" w:firstLineChars="0"/>
        <w:rPr>
          <w:rStyle w:val="61"/>
          <w:rFonts w:ascii="Times New Roman"/>
          <w:color w:val="auto"/>
          <w:highlight w:val="none"/>
        </w:rPr>
      </w:pPr>
      <w:r>
        <w:rPr>
          <w:rFonts w:hint="eastAsia" w:hAnsi="宋体"/>
          <w:color w:val="auto"/>
          <w:sz w:val="21"/>
          <w:szCs w:val="21"/>
          <w:highlight w:val="none"/>
        </w:rPr>
        <w:t>日常考核中如发生检查人与责任人意见相左，检查人可先通过书面记录和拍照等方式记录下当时情况，再报由</w:t>
      </w:r>
      <w:r>
        <w:rPr>
          <w:rFonts w:hint="eastAsia" w:hAnsi="宋体"/>
          <w:color w:val="auto"/>
          <w:sz w:val="21"/>
          <w:szCs w:val="21"/>
          <w:highlight w:val="none"/>
          <w:lang w:eastAsia="zh-CN"/>
        </w:rPr>
        <w:t>甲方</w:t>
      </w:r>
      <w:r>
        <w:rPr>
          <w:rFonts w:hint="eastAsia" w:hAnsi="宋体"/>
          <w:color w:val="auto"/>
          <w:sz w:val="21"/>
          <w:szCs w:val="21"/>
          <w:highlight w:val="none"/>
        </w:rPr>
        <w:t>审议确定；月度考核中如乙方对考核结果存在异议，可在次月初3日内向</w:t>
      </w:r>
      <w:r>
        <w:rPr>
          <w:rFonts w:hint="eastAsia" w:hAnsi="宋体"/>
          <w:color w:val="auto"/>
          <w:sz w:val="21"/>
          <w:szCs w:val="21"/>
          <w:highlight w:val="none"/>
          <w:lang w:eastAsia="zh-CN"/>
        </w:rPr>
        <w:t>甲方</w:t>
      </w:r>
      <w:r>
        <w:rPr>
          <w:rFonts w:hint="eastAsia" w:hAnsi="宋体"/>
          <w:color w:val="auto"/>
          <w:sz w:val="21"/>
          <w:szCs w:val="21"/>
          <w:highlight w:val="none"/>
        </w:rPr>
        <w:t>提出申诉，经</w:t>
      </w:r>
      <w:r>
        <w:rPr>
          <w:rFonts w:hint="eastAsia" w:hAnsi="宋体"/>
          <w:color w:val="auto"/>
          <w:sz w:val="21"/>
          <w:szCs w:val="21"/>
          <w:highlight w:val="none"/>
          <w:lang w:eastAsia="zh-CN"/>
        </w:rPr>
        <w:t>甲方</w:t>
      </w:r>
      <w:r>
        <w:rPr>
          <w:rFonts w:hint="eastAsia" w:hAnsi="宋体"/>
          <w:color w:val="auto"/>
          <w:sz w:val="21"/>
          <w:szCs w:val="21"/>
          <w:highlight w:val="none"/>
        </w:rPr>
        <w:t>审议确定。</w:t>
      </w:r>
    </w:p>
    <w:p>
      <w:pPr>
        <w:pStyle w:val="2"/>
        <w:rPr>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Ansi="宋体"/>
          <w:b/>
          <w:color w:val="auto"/>
          <w:sz w:val="24"/>
          <w:szCs w:val="24"/>
          <w:highlight w:val="none"/>
        </w:rPr>
      </w:pPr>
      <w:r>
        <w:rPr>
          <w:rFonts w:hint="eastAsia" w:hAnsi="宋体"/>
          <w:b/>
          <w:color w:val="auto"/>
          <w:sz w:val="24"/>
          <w:szCs w:val="24"/>
          <w:highlight w:val="none"/>
        </w:rPr>
        <w:t>第八条</w:t>
      </w:r>
      <w:r>
        <w:rPr>
          <w:rFonts w:hint="eastAsia" w:hAnsi="宋体"/>
          <w:b/>
          <w:color w:val="auto"/>
          <w:sz w:val="24"/>
          <w:szCs w:val="24"/>
          <w:highlight w:val="none"/>
          <w:lang w:val="en-US" w:eastAsia="zh-CN"/>
        </w:rPr>
        <w:t xml:space="preserve"> </w:t>
      </w:r>
      <w:r>
        <w:rPr>
          <w:rFonts w:hint="eastAsia" w:hAnsi="宋体"/>
          <w:b/>
          <w:color w:val="auto"/>
          <w:sz w:val="24"/>
          <w:szCs w:val="24"/>
          <w:highlight w:val="none"/>
        </w:rPr>
        <w:t>违约责任</w:t>
      </w:r>
    </w:p>
    <w:p>
      <w:pPr>
        <w:keepNext w:val="0"/>
        <w:keepLines w:val="0"/>
        <w:pageBreakBefore w:val="0"/>
        <w:widowControl w:val="0"/>
        <w:numPr>
          <w:ilvl w:val="0"/>
          <w:numId w:val="0"/>
        </w:numPr>
        <w:tabs>
          <w:tab w:val="left" w:pos="420"/>
        </w:tabs>
        <w:kinsoku/>
        <w:wordWrap/>
        <w:overflowPunct/>
        <w:topLinePunct w:val="0"/>
        <w:autoSpaceDE w:val="0"/>
        <w:autoSpaceDN w:val="0"/>
        <w:bidi w:val="0"/>
        <w:adjustRightInd w:val="0"/>
        <w:snapToGrid/>
        <w:spacing w:line="360" w:lineRule="auto"/>
        <w:textAlignment w:val="auto"/>
        <w:rPr>
          <w:rFonts w:hAnsi="宋体"/>
          <w:color w:val="auto"/>
          <w:sz w:val="21"/>
          <w:szCs w:val="21"/>
          <w:highlight w:val="none"/>
        </w:rPr>
      </w:pPr>
      <w:r>
        <w:rPr>
          <w:rFonts w:hint="eastAsia" w:hAnsi="宋体"/>
          <w:color w:val="auto"/>
          <w:sz w:val="21"/>
          <w:szCs w:val="21"/>
          <w:highlight w:val="none"/>
          <w:lang w:eastAsia="zh-CN"/>
        </w:rPr>
        <w:t>（一）</w:t>
      </w:r>
      <w:r>
        <w:rPr>
          <w:rFonts w:hint="eastAsia" w:hAnsi="宋体"/>
          <w:color w:val="auto"/>
          <w:sz w:val="21"/>
          <w:szCs w:val="21"/>
          <w:highlight w:val="none"/>
        </w:rPr>
        <w:t>乙方违反本</w:t>
      </w:r>
      <w:r>
        <w:rPr>
          <w:rFonts w:hint="eastAsia" w:hAnsi="宋体"/>
          <w:color w:val="auto"/>
          <w:sz w:val="21"/>
          <w:szCs w:val="21"/>
          <w:highlight w:val="none"/>
          <w:lang w:eastAsia="zh-CN"/>
        </w:rPr>
        <w:t>合同</w:t>
      </w:r>
      <w:r>
        <w:rPr>
          <w:rFonts w:hint="eastAsia" w:hAnsi="宋体"/>
          <w:color w:val="auto"/>
          <w:sz w:val="21"/>
          <w:szCs w:val="21"/>
          <w:highlight w:val="none"/>
        </w:rPr>
        <w:t>，未达到管理服务约定目标的，甲方要求乙方限期改正，逾期未改正给甲方造成损失的，乙方应给予赔偿并承担相应的法律责任。</w:t>
      </w:r>
    </w:p>
    <w:p>
      <w:pPr>
        <w:pStyle w:val="2"/>
        <w:numPr>
          <w:ilvl w:val="0"/>
          <w:numId w:val="0"/>
        </w:numPr>
        <w:spacing w:line="360" w:lineRule="auto"/>
        <w:rPr>
          <w:rFonts w:hint="eastAsia"/>
          <w:color w:val="auto"/>
          <w:sz w:val="21"/>
          <w:szCs w:val="21"/>
          <w:highlight w:val="none"/>
          <w:lang w:val="en-US"/>
        </w:rPr>
      </w:pPr>
      <w:r>
        <w:rPr>
          <w:rFonts w:hint="eastAsia"/>
          <w:color w:val="auto"/>
          <w:sz w:val="21"/>
          <w:szCs w:val="21"/>
          <w:highlight w:val="none"/>
          <w:lang w:val="en-US" w:eastAsia="zh-CN"/>
        </w:rPr>
        <w:t>（二）</w:t>
      </w:r>
      <w:r>
        <w:rPr>
          <w:rFonts w:hint="eastAsia"/>
          <w:color w:val="auto"/>
          <w:sz w:val="21"/>
          <w:szCs w:val="21"/>
          <w:highlight w:val="none"/>
          <w:lang w:val="en-US"/>
        </w:rPr>
        <w:t>如因乙方擅自提前解除本</w:t>
      </w:r>
      <w:r>
        <w:rPr>
          <w:rFonts w:hint="eastAsia"/>
          <w:color w:val="auto"/>
          <w:sz w:val="21"/>
          <w:szCs w:val="21"/>
          <w:highlight w:val="none"/>
          <w:lang w:val="en-US" w:eastAsia="zh-CN"/>
        </w:rPr>
        <w:t>合同</w:t>
      </w:r>
      <w:r>
        <w:rPr>
          <w:rFonts w:hint="eastAsia"/>
          <w:color w:val="auto"/>
          <w:sz w:val="21"/>
          <w:szCs w:val="21"/>
          <w:highlight w:val="none"/>
          <w:lang w:val="en-US"/>
        </w:rPr>
        <w:t>或因乙方原因造成本</w:t>
      </w:r>
      <w:r>
        <w:rPr>
          <w:rFonts w:hint="eastAsia"/>
          <w:color w:val="auto"/>
          <w:sz w:val="21"/>
          <w:szCs w:val="21"/>
          <w:highlight w:val="none"/>
          <w:lang w:val="en-US" w:eastAsia="zh-CN"/>
        </w:rPr>
        <w:t>合同</w:t>
      </w:r>
      <w:r>
        <w:rPr>
          <w:rFonts w:hint="eastAsia"/>
          <w:color w:val="auto"/>
          <w:sz w:val="21"/>
          <w:szCs w:val="21"/>
          <w:highlight w:val="none"/>
          <w:lang w:val="en-US"/>
        </w:rPr>
        <w:t>无法履行的，甲方有权解除本</w:t>
      </w:r>
      <w:r>
        <w:rPr>
          <w:rFonts w:hint="eastAsia"/>
          <w:color w:val="auto"/>
          <w:sz w:val="21"/>
          <w:szCs w:val="21"/>
          <w:highlight w:val="none"/>
          <w:lang w:val="en-US" w:eastAsia="zh-CN"/>
        </w:rPr>
        <w:t>合同</w:t>
      </w:r>
      <w:r>
        <w:rPr>
          <w:rFonts w:hint="eastAsia"/>
          <w:color w:val="auto"/>
          <w:sz w:val="21"/>
          <w:szCs w:val="21"/>
          <w:highlight w:val="none"/>
          <w:lang w:val="en-US"/>
        </w:rPr>
        <w:t>，并没收履约保证金。</w:t>
      </w:r>
    </w:p>
    <w:p>
      <w:pPr>
        <w:pStyle w:val="2"/>
        <w:numPr>
          <w:ilvl w:val="0"/>
          <w:numId w:val="0"/>
        </w:numPr>
        <w:spacing w:line="360" w:lineRule="auto"/>
        <w:rPr>
          <w:rFonts w:hint="eastAsia"/>
          <w:color w:val="auto"/>
          <w:sz w:val="21"/>
          <w:szCs w:val="21"/>
          <w:highlight w:val="none"/>
          <w:lang w:val="en-US"/>
        </w:rPr>
      </w:pPr>
      <w:r>
        <w:rPr>
          <w:rFonts w:hint="eastAsia"/>
          <w:color w:val="auto"/>
          <w:sz w:val="21"/>
          <w:szCs w:val="21"/>
          <w:highlight w:val="none"/>
          <w:lang w:val="en-US" w:eastAsia="zh-CN"/>
        </w:rPr>
        <w:t>（三）</w:t>
      </w:r>
      <w:r>
        <w:rPr>
          <w:rFonts w:hint="eastAsia"/>
          <w:color w:val="auto"/>
          <w:sz w:val="21"/>
          <w:szCs w:val="21"/>
          <w:highlight w:val="none"/>
          <w:lang w:val="en-US"/>
        </w:rPr>
        <w:t>甲方经提前X天通知乙方，可提前解除本</w:t>
      </w:r>
      <w:r>
        <w:rPr>
          <w:rFonts w:hint="eastAsia"/>
          <w:color w:val="auto"/>
          <w:sz w:val="21"/>
          <w:szCs w:val="21"/>
          <w:highlight w:val="none"/>
          <w:lang w:val="en-US" w:eastAsia="zh-CN"/>
        </w:rPr>
        <w:t>合同</w:t>
      </w:r>
      <w:r>
        <w:rPr>
          <w:rFonts w:hint="eastAsia"/>
          <w:color w:val="auto"/>
          <w:sz w:val="21"/>
          <w:szCs w:val="21"/>
          <w:highlight w:val="none"/>
          <w:lang w:val="en-US"/>
        </w:rPr>
        <w:t>，并不承担任何违约责任。</w:t>
      </w:r>
    </w:p>
    <w:p>
      <w:pPr>
        <w:pStyle w:val="2"/>
        <w:numPr>
          <w:ilvl w:val="0"/>
          <w:numId w:val="0"/>
        </w:numPr>
        <w:spacing w:line="520" w:lineRule="exact"/>
        <w:ind w:left="420"/>
        <w:rPr>
          <w:rFonts w:hint="eastAsia"/>
          <w:color w:val="auto"/>
          <w:sz w:val="21"/>
          <w:szCs w:val="21"/>
          <w:highlight w:val="none"/>
          <w:lang w:val="en-US"/>
        </w:rPr>
      </w:pPr>
    </w:p>
    <w:p>
      <w:pPr>
        <w:tabs>
          <w:tab w:val="left" w:pos="420"/>
        </w:tabs>
        <w:spacing w:line="360" w:lineRule="auto"/>
        <w:rPr>
          <w:rStyle w:val="61"/>
          <w:rFonts w:ascii="Times New Roman"/>
          <w:b/>
          <w:bCs w:val="0"/>
          <w:color w:val="auto"/>
          <w:sz w:val="24"/>
          <w:szCs w:val="24"/>
          <w:highlight w:val="none"/>
        </w:rPr>
      </w:pPr>
      <w:r>
        <w:rPr>
          <w:rFonts w:hint="eastAsia" w:hAnsi="宋体"/>
          <w:b/>
          <w:bCs w:val="0"/>
          <w:color w:val="auto"/>
          <w:sz w:val="24"/>
          <w:szCs w:val="24"/>
          <w:highlight w:val="none"/>
        </w:rPr>
        <w:t>第九条</w:t>
      </w:r>
      <w:r>
        <w:rPr>
          <w:rFonts w:hint="eastAsia" w:hAnsi="宋体"/>
          <w:b/>
          <w:bCs w:val="0"/>
          <w:color w:val="auto"/>
          <w:sz w:val="24"/>
          <w:szCs w:val="24"/>
          <w:highlight w:val="none"/>
          <w:lang w:val="en-US" w:eastAsia="zh-CN"/>
        </w:rPr>
        <w:t xml:space="preserve"> </w:t>
      </w:r>
      <w:r>
        <w:rPr>
          <w:rFonts w:hint="eastAsia" w:hAnsi="宋体"/>
          <w:b/>
          <w:bCs w:val="0"/>
          <w:color w:val="auto"/>
          <w:sz w:val="24"/>
          <w:szCs w:val="24"/>
          <w:highlight w:val="none"/>
        </w:rPr>
        <w:t>本</w:t>
      </w:r>
      <w:r>
        <w:rPr>
          <w:rFonts w:hint="eastAsia" w:hAnsi="宋体"/>
          <w:b/>
          <w:bCs w:val="0"/>
          <w:color w:val="auto"/>
          <w:sz w:val="24"/>
          <w:szCs w:val="24"/>
          <w:highlight w:val="none"/>
          <w:lang w:eastAsia="zh-CN"/>
        </w:rPr>
        <w:t>合同</w:t>
      </w:r>
      <w:r>
        <w:rPr>
          <w:rFonts w:hint="eastAsia" w:hAnsi="宋体"/>
          <w:b/>
          <w:bCs w:val="0"/>
          <w:color w:val="auto"/>
          <w:sz w:val="24"/>
          <w:szCs w:val="24"/>
          <w:highlight w:val="none"/>
        </w:rPr>
        <w:t>在履行中如发生争议，双方协商解决或向物业行政主管部门申请调解；协商或调解无效的，双方均可向广州仲裁委员会东莞分会申请仲裁解决。</w:t>
      </w:r>
    </w:p>
    <w:p>
      <w:pPr>
        <w:tabs>
          <w:tab w:val="left" w:pos="420"/>
        </w:tabs>
        <w:spacing w:line="360" w:lineRule="auto"/>
        <w:rPr>
          <w:rStyle w:val="61"/>
          <w:rFonts w:ascii="Times New Roman"/>
          <w:b/>
          <w:bCs w:val="0"/>
          <w:color w:val="auto"/>
          <w:sz w:val="24"/>
          <w:szCs w:val="24"/>
          <w:highlight w:val="none"/>
        </w:rPr>
      </w:pPr>
    </w:p>
    <w:p>
      <w:pPr>
        <w:numPr>
          <w:ilvl w:val="0"/>
          <w:numId w:val="0"/>
        </w:numPr>
        <w:tabs>
          <w:tab w:val="left" w:pos="420"/>
        </w:tabs>
        <w:spacing w:line="360" w:lineRule="auto"/>
        <w:rPr>
          <w:rFonts w:hint="eastAsia" w:hAnsi="宋体"/>
          <w:b/>
          <w:bCs w:val="0"/>
          <w:color w:val="auto"/>
          <w:sz w:val="24"/>
          <w:szCs w:val="24"/>
          <w:highlight w:val="none"/>
        </w:rPr>
      </w:pPr>
      <w:r>
        <w:rPr>
          <w:rFonts w:hint="eastAsia" w:hAnsi="宋体"/>
          <w:b/>
          <w:bCs w:val="0"/>
          <w:color w:val="auto"/>
          <w:sz w:val="24"/>
          <w:szCs w:val="24"/>
          <w:highlight w:val="none"/>
          <w:lang w:eastAsia="zh-CN"/>
        </w:rPr>
        <w:t>第十条</w:t>
      </w:r>
      <w:r>
        <w:rPr>
          <w:rFonts w:hint="eastAsia" w:hAnsi="宋体"/>
          <w:b/>
          <w:bCs w:val="0"/>
          <w:color w:val="auto"/>
          <w:sz w:val="24"/>
          <w:szCs w:val="24"/>
          <w:highlight w:val="none"/>
          <w:lang w:val="en-US" w:eastAsia="zh-CN"/>
        </w:rPr>
        <w:t xml:space="preserve"> </w:t>
      </w:r>
      <w:r>
        <w:rPr>
          <w:rFonts w:hint="eastAsia" w:hAnsi="宋体"/>
          <w:b/>
          <w:bCs w:val="0"/>
          <w:color w:val="auto"/>
          <w:sz w:val="24"/>
          <w:szCs w:val="24"/>
          <w:highlight w:val="none"/>
        </w:rPr>
        <w:t>如因实际情况发生变化，导致物业管理成本增加的，双方另行协商。</w:t>
      </w:r>
    </w:p>
    <w:p>
      <w:pPr>
        <w:pStyle w:val="2"/>
        <w:numPr>
          <w:ilvl w:val="0"/>
          <w:numId w:val="0"/>
        </w:numPr>
        <w:rPr>
          <w:color w:val="auto"/>
          <w:highlight w:val="none"/>
        </w:rPr>
      </w:pPr>
    </w:p>
    <w:p>
      <w:pPr>
        <w:numPr>
          <w:ilvl w:val="0"/>
          <w:numId w:val="33"/>
        </w:numPr>
        <w:tabs>
          <w:tab w:val="left" w:pos="420"/>
        </w:tabs>
        <w:spacing w:line="360" w:lineRule="auto"/>
        <w:rPr>
          <w:rFonts w:hint="eastAsia" w:hAnsi="宋体"/>
          <w:b/>
          <w:bCs w:val="0"/>
          <w:color w:val="auto"/>
          <w:sz w:val="24"/>
          <w:szCs w:val="24"/>
          <w:highlight w:val="none"/>
        </w:rPr>
      </w:pPr>
      <w:r>
        <w:rPr>
          <w:rFonts w:hint="eastAsia" w:hAnsi="宋体"/>
          <w:b/>
          <w:bCs w:val="0"/>
          <w:color w:val="auto"/>
          <w:sz w:val="24"/>
          <w:szCs w:val="24"/>
          <w:highlight w:val="none"/>
        </w:rPr>
        <w:t>本</w:t>
      </w:r>
      <w:r>
        <w:rPr>
          <w:rFonts w:hint="eastAsia" w:hAnsi="宋体"/>
          <w:b/>
          <w:bCs w:val="0"/>
          <w:color w:val="auto"/>
          <w:sz w:val="24"/>
          <w:szCs w:val="24"/>
          <w:highlight w:val="none"/>
          <w:lang w:eastAsia="zh-CN"/>
        </w:rPr>
        <w:t>合同</w:t>
      </w:r>
      <w:r>
        <w:rPr>
          <w:rFonts w:hint="eastAsia" w:hAnsi="宋体"/>
          <w:b/>
          <w:bCs w:val="0"/>
          <w:color w:val="auto"/>
          <w:sz w:val="24"/>
          <w:szCs w:val="24"/>
          <w:highlight w:val="none"/>
        </w:rPr>
        <w:t>一式叁份，甲方贰份，乙方壹份，均具有同等的法律效力。自双方签字盖章之日起生效。</w:t>
      </w:r>
    </w:p>
    <w:p>
      <w:pPr>
        <w:pStyle w:val="2"/>
        <w:numPr>
          <w:ilvl w:val="0"/>
          <w:numId w:val="0"/>
        </w:numPr>
        <w:rPr>
          <w:color w:val="auto"/>
          <w:highlight w:val="none"/>
        </w:rPr>
      </w:pPr>
    </w:p>
    <w:p>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b/>
          <w:bCs/>
          <w:color w:val="auto"/>
          <w:szCs w:val="24"/>
          <w:highlight w:val="none"/>
        </w:rPr>
      </w:pPr>
      <w:r>
        <w:rPr>
          <w:rFonts w:hAnsi="宋体" w:cs="宋体"/>
          <w:b/>
          <w:bCs/>
          <w:color w:val="auto"/>
          <w:szCs w:val="24"/>
          <w:highlight w:val="none"/>
        </w:rPr>
        <w:t>附件：</w:t>
      </w:r>
    </w:p>
    <w:p>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b/>
          <w:bCs/>
          <w:color w:val="auto"/>
          <w:szCs w:val="24"/>
          <w:highlight w:val="none"/>
        </w:rPr>
      </w:pPr>
      <w:r>
        <w:rPr>
          <w:rFonts w:hAnsi="宋体" w:cs="宋体"/>
          <w:b/>
          <w:bCs/>
          <w:color w:val="auto"/>
          <w:szCs w:val="24"/>
          <w:highlight w:val="none"/>
        </w:rPr>
        <w:t>招标文件</w:t>
      </w:r>
    </w:p>
    <w:p>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b/>
          <w:bCs/>
          <w:color w:val="auto"/>
          <w:szCs w:val="24"/>
          <w:highlight w:val="none"/>
        </w:rPr>
      </w:pPr>
      <w:r>
        <w:rPr>
          <w:rFonts w:hAnsi="宋体" w:cs="宋体"/>
          <w:b/>
          <w:bCs/>
          <w:color w:val="auto"/>
          <w:szCs w:val="24"/>
          <w:highlight w:val="none"/>
        </w:rPr>
        <w:t>投标文件</w:t>
      </w:r>
    </w:p>
    <w:p>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b/>
          <w:bCs/>
          <w:color w:val="auto"/>
          <w:szCs w:val="24"/>
          <w:highlight w:val="none"/>
        </w:rPr>
      </w:pPr>
      <w:r>
        <w:rPr>
          <w:rFonts w:hAnsi="宋体" w:cs="宋体"/>
          <w:b/>
          <w:bCs/>
          <w:color w:val="auto"/>
          <w:szCs w:val="24"/>
          <w:highlight w:val="none"/>
        </w:rPr>
        <w:t>中标通知书</w:t>
      </w:r>
    </w:p>
    <w:p>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宋体"/>
          <w:b/>
          <w:bCs/>
          <w:color w:val="auto"/>
          <w:szCs w:val="24"/>
          <w:highlight w:val="none"/>
        </w:rPr>
      </w:pPr>
      <w:r>
        <w:rPr>
          <w:rFonts w:hint="eastAsia" w:hAnsi="宋体" w:cs="宋体"/>
          <w:b/>
          <w:bCs/>
          <w:color w:val="auto"/>
          <w:szCs w:val="24"/>
          <w:highlight w:val="none"/>
        </w:rPr>
        <w:t>物业管理考核细则</w:t>
      </w:r>
    </w:p>
    <w:p>
      <w:pPr>
        <w:pStyle w:val="29"/>
        <w:rPr>
          <w:rFonts w:hint="eastAsia" w:eastAsia="宋体"/>
          <w:color w:val="auto"/>
          <w:highlight w:val="none"/>
          <w:lang w:eastAsia="zh-CN"/>
        </w:rPr>
      </w:pPr>
      <w:r>
        <w:rPr>
          <w:rFonts w:hint="eastAsia" w:hAnsi="宋体" w:cs="宋体"/>
          <w:b/>
          <w:bCs/>
          <w:color w:val="auto"/>
          <w:szCs w:val="24"/>
          <w:highlight w:val="none"/>
          <w:lang w:eastAsia="zh-CN"/>
        </w:rPr>
        <w:t>……</w:t>
      </w:r>
    </w:p>
    <w:p>
      <w:pPr>
        <w:tabs>
          <w:tab w:val="left" w:pos="420"/>
        </w:tabs>
        <w:spacing w:line="360" w:lineRule="auto"/>
        <w:rPr>
          <w:rFonts w:hAnsi="宋体"/>
          <w:color w:val="auto"/>
          <w:sz w:val="21"/>
          <w:szCs w:val="21"/>
          <w:highlight w:val="none"/>
        </w:rPr>
      </w:pPr>
    </w:p>
    <w:p>
      <w:pPr>
        <w:tabs>
          <w:tab w:val="left" w:pos="420"/>
        </w:tabs>
        <w:spacing w:line="360" w:lineRule="auto"/>
        <w:rPr>
          <w:rFonts w:hAnsi="宋体"/>
          <w:color w:val="auto"/>
          <w:sz w:val="21"/>
          <w:szCs w:val="21"/>
          <w:highlight w:val="none"/>
        </w:rPr>
      </w:pPr>
      <w:r>
        <w:rPr>
          <w:rFonts w:hint="eastAsia" w:hAnsi="宋体"/>
          <w:color w:val="auto"/>
          <w:sz w:val="21"/>
          <w:szCs w:val="21"/>
          <w:highlight w:val="none"/>
        </w:rPr>
        <w:t xml:space="preserve">甲方（盖章）：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乙方（盖章）：</w:t>
      </w:r>
    </w:p>
    <w:p>
      <w:pPr>
        <w:tabs>
          <w:tab w:val="left" w:pos="420"/>
        </w:tabs>
        <w:spacing w:line="360" w:lineRule="auto"/>
        <w:rPr>
          <w:rFonts w:hAnsi="宋体"/>
          <w:color w:val="auto"/>
          <w:sz w:val="21"/>
          <w:szCs w:val="21"/>
          <w:highlight w:val="none"/>
        </w:rPr>
      </w:pPr>
      <w:r>
        <w:rPr>
          <w:rFonts w:hint="eastAsia" w:hAnsi="宋体"/>
          <w:color w:val="auto"/>
          <w:sz w:val="21"/>
          <w:szCs w:val="21"/>
          <w:highlight w:val="none"/>
        </w:rPr>
        <w:t xml:space="preserve">法定代表人/授权代表：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法定代表人/授权代表：</w:t>
      </w:r>
    </w:p>
    <w:p>
      <w:pPr>
        <w:tabs>
          <w:tab w:val="left" w:pos="420"/>
        </w:tabs>
        <w:spacing w:line="360" w:lineRule="auto"/>
        <w:ind w:firstLine="840" w:firstLineChars="400"/>
        <w:rPr>
          <w:rFonts w:hAnsi="宋体"/>
          <w:b/>
          <w:color w:val="auto"/>
          <w:sz w:val="21"/>
          <w:szCs w:val="21"/>
          <w:highlight w:val="none"/>
        </w:rPr>
      </w:pPr>
      <w:r>
        <w:rPr>
          <w:rFonts w:hint="eastAsia" w:hAnsi="宋体"/>
          <w:color w:val="auto"/>
          <w:sz w:val="21"/>
          <w:szCs w:val="21"/>
          <w:highlight w:val="none"/>
        </w:rPr>
        <w:t xml:space="preserve">年   月    日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年     月      日</w:t>
      </w:r>
    </w:p>
    <w:p>
      <w:pPr>
        <w:pStyle w:val="3"/>
        <w:keepNext/>
        <w:keepLines/>
        <w:pageBreakBefore/>
        <w:numPr>
          <w:ilvl w:val="0"/>
          <w:numId w:val="17"/>
        </w:numPr>
        <w:spacing w:line="360" w:lineRule="auto"/>
        <w:jc w:val="center"/>
        <w:rPr>
          <w:rFonts w:hint="eastAsia" w:hAnsi="宋体"/>
          <w:b/>
          <w:bCs/>
          <w:color w:val="auto"/>
          <w:kern w:val="44"/>
          <w:sz w:val="28"/>
          <w:szCs w:val="28"/>
          <w:highlight w:val="none"/>
          <w:lang w:val="zh-CN"/>
        </w:rPr>
      </w:pPr>
      <w:bookmarkStart w:id="148" w:name="_Toc396137242"/>
      <w:bookmarkStart w:id="149" w:name="_Toc8470"/>
      <w:r>
        <w:rPr>
          <w:rFonts w:hint="eastAsia" w:hAnsi="宋体"/>
          <w:b/>
          <w:bCs/>
          <w:color w:val="auto"/>
          <w:kern w:val="44"/>
          <w:sz w:val="28"/>
          <w:szCs w:val="28"/>
          <w:highlight w:val="none"/>
          <w:lang w:val="zh-CN"/>
        </w:rPr>
        <w:t>磋商响应文件格式</w:t>
      </w:r>
      <w:bookmarkEnd w:id="148"/>
      <w:bookmarkEnd w:id="149"/>
    </w:p>
    <w:p>
      <w:pPr>
        <w:ind w:firstLine="1800" w:firstLineChars="750"/>
        <w:rPr>
          <w:rFonts w:hAnsi="宋体"/>
          <w:color w:val="auto"/>
          <w:highlight w:val="none"/>
        </w:rPr>
      </w:pPr>
    </w:p>
    <w:p>
      <w:pPr>
        <w:pStyle w:val="4"/>
        <w:jc w:val="center"/>
        <w:rPr>
          <w:color w:val="auto"/>
          <w:sz w:val="28"/>
          <w:szCs w:val="28"/>
          <w:highlight w:val="none"/>
        </w:rPr>
      </w:pPr>
      <w:bookmarkStart w:id="150" w:name="_Toc9566"/>
      <w:bookmarkStart w:id="151" w:name="_Toc19311"/>
      <w:r>
        <w:rPr>
          <w:rFonts w:hint="eastAsia"/>
          <w:color w:val="auto"/>
          <w:sz w:val="28"/>
          <w:szCs w:val="28"/>
          <w:highlight w:val="none"/>
        </w:rPr>
        <w:t>第一部分 价格文件（单独编制装订成册）</w:t>
      </w:r>
      <w:bookmarkEnd w:id="150"/>
      <w:bookmarkEnd w:id="151"/>
    </w:p>
    <w:p>
      <w:pPr>
        <w:ind w:firstLine="1800" w:firstLineChars="750"/>
        <w:rPr>
          <w:rFonts w:hAnsi="宋体"/>
          <w:color w:val="auto"/>
          <w:highlight w:val="none"/>
        </w:rPr>
      </w:pPr>
    </w:p>
    <w:p>
      <w:pPr>
        <w:pStyle w:val="4"/>
        <w:numPr>
          <w:ilvl w:val="0"/>
          <w:numId w:val="34"/>
        </w:numPr>
        <w:jc w:val="center"/>
        <w:rPr>
          <w:color w:val="auto"/>
          <w:sz w:val="28"/>
          <w:szCs w:val="28"/>
          <w:highlight w:val="none"/>
        </w:rPr>
      </w:pPr>
      <w:bookmarkStart w:id="152" w:name="_Toc12373"/>
      <w:bookmarkStart w:id="153" w:name="_Toc20730"/>
      <w:bookmarkStart w:id="154" w:name="_Toc7897888"/>
      <w:bookmarkStart w:id="155" w:name="_Toc467236769"/>
      <w:bookmarkStart w:id="156" w:name="_Toc486671573"/>
      <w:bookmarkStart w:id="157" w:name="_Toc454701406"/>
      <w:bookmarkStart w:id="158" w:name="_Toc476976201"/>
      <w:bookmarkStart w:id="159" w:name="_Toc458262639"/>
      <w:bookmarkStart w:id="160" w:name="_Toc15960"/>
      <w:bookmarkStart w:id="161" w:name="_Toc9348"/>
      <w:bookmarkStart w:id="162" w:name="_Toc28095"/>
      <w:bookmarkStart w:id="163" w:name="_Toc29841"/>
      <w:bookmarkStart w:id="164" w:name="_Toc18848"/>
      <w:bookmarkStart w:id="165" w:name="_Toc32405"/>
      <w:bookmarkStart w:id="166" w:name="_Toc32273"/>
      <w:bookmarkStart w:id="167" w:name="_Toc19671"/>
      <w:bookmarkStart w:id="168" w:name="_Toc12383"/>
      <w:bookmarkStart w:id="169" w:name="_Toc30637"/>
      <w:bookmarkStart w:id="170" w:name="_Toc396137244"/>
      <w:bookmarkStart w:id="171" w:name="_Toc32736"/>
      <w:bookmarkStart w:id="172" w:name="_Toc2544"/>
      <w:r>
        <w:rPr>
          <w:rFonts w:hint="eastAsia"/>
          <w:color w:val="auto"/>
          <w:sz w:val="28"/>
          <w:szCs w:val="28"/>
          <w:highlight w:val="none"/>
        </w:rPr>
        <w:t>报价一览表</w:t>
      </w:r>
      <w:bookmarkEnd w:id="152"/>
      <w:bookmarkEnd w:id="153"/>
      <w:bookmarkEnd w:id="154"/>
    </w:p>
    <w:p>
      <w:pPr>
        <w:pStyle w:val="13"/>
        <w:ind w:firstLine="400"/>
        <w:rPr>
          <w:rFonts w:hAnsi="宋体"/>
          <w:color w:val="auto"/>
          <w:highlight w:val="none"/>
        </w:rPr>
      </w:pPr>
    </w:p>
    <w:p>
      <w:pPr>
        <w:overflowPunct w:val="0"/>
        <w:spacing w:line="460" w:lineRule="exact"/>
        <w:jc w:val="right"/>
        <w:rPr>
          <w:rFonts w:hAnsi="宋体"/>
          <w:color w:val="auto"/>
          <w:highlight w:val="none"/>
        </w:rPr>
      </w:pPr>
      <w:r>
        <w:rPr>
          <w:rFonts w:hint="eastAsia" w:hAnsi="宋体"/>
          <w:color w:val="auto"/>
          <w:highlight w:val="none"/>
        </w:rPr>
        <w:t>单位：元/（人民币）</w:t>
      </w:r>
    </w:p>
    <w:tbl>
      <w:tblPr>
        <w:tblStyle w:val="53"/>
        <w:tblW w:w="94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457"/>
        <w:gridCol w:w="3883"/>
        <w:gridCol w:w="19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4" w:hRule="atLeast"/>
          <w:jc w:val="center"/>
        </w:trPr>
        <w:tc>
          <w:tcPr>
            <w:tcW w:w="1134" w:type="dxa"/>
            <w:vAlign w:val="center"/>
          </w:tcPr>
          <w:p>
            <w:pPr>
              <w:overflowPunct w:val="0"/>
              <w:spacing w:line="460" w:lineRule="exact"/>
              <w:jc w:val="center"/>
              <w:rPr>
                <w:rFonts w:hAnsi="宋体"/>
                <w:b/>
                <w:color w:val="auto"/>
                <w:sz w:val="21"/>
                <w:szCs w:val="21"/>
                <w:highlight w:val="none"/>
              </w:rPr>
            </w:pPr>
            <w:r>
              <w:rPr>
                <w:rFonts w:hint="eastAsia" w:hAnsi="宋体"/>
                <w:b/>
                <w:color w:val="auto"/>
                <w:sz w:val="21"/>
                <w:szCs w:val="21"/>
                <w:highlight w:val="none"/>
              </w:rPr>
              <w:t>项目编号</w:t>
            </w:r>
          </w:p>
        </w:tc>
        <w:tc>
          <w:tcPr>
            <w:tcW w:w="2457" w:type="dxa"/>
            <w:vAlign w:val="center"/>
          </w:tcPr>
          <w:p>
            <w:pPr>
              <w:overflowPunct w:val="0"/>
              <w:spacing w:line="460" w:lineRule="exact"/>
              <w:jc w:val="center"/>
              <w:rPr>
                <w:rFonts w:hAnsi="宋体"/>
                <w:b/>
                <w:color w:val="auto"/>
                <w:sz w:val="21"/>
                <w:szCs w:val="21"/>
                <w:highlight w:val="none"/>
              </w:rPr>
            </w:pPr>
            <w:r>
              <w:rPr>
                <w:rFonts w:hint="eastAsia" w:hAnsi="宋体"/>
                <w:b/>
                <w:color w:val="auto"/>
                <w:sz w:val="21"/>
                <w:szCs w:val="21"/>
                <w:highlight w:val="none"/>
              </w:rPr>
              <w:t>项目名称</w:t>
            </w:r>
          </w:p>
        </w:tc>
        <w:tc>
          <w:tcPr>
            <w:tcW w:w="3883" w:type="dxa"/>
            <w:vAlign w:val="center"/>
          </w:tcPr>
          <w:p>
            <w:pPr>
              <w:overflowPunct w:val="0"/>
              <w:spacing w:line="460" w:lineRule="exact"/>
              <w:jc w:val="center"/>
              <w:rPr>
                <w:rFonts w:hAnsi="宋体"/>
                <w:b/>
                <w:color w:val="auto"/>
                <w:sz w:val="21"/>
                <w:szCs w:val="21"/>
                <w:highlight w:val="none"/>
              </w:rPr>
            </w:pPr>
            <w:r>
              <w:rPr>
                <w:rFonts w:hint="eastAsia" w:hAnsi="宋体"/>
                <w:b/>
                <w:color w:val="auto"/>
                <w:sz w:val="21"/>
                <w:szCs w:val="21"/>
                <w:highlight w:val="none"/>
              </w:rPr>
              <w:t>总报价</w:t>
            </w:r>
          </w:p>
        </w:tc>
        <w:tc>
          <w:tcPr>
            <w:tcW w:w="1995" w:type="dxa"/>
            <w:vAlign w:val="center"/>
          </w:tcPr>
          <w:p>
            <w:pPr>
              <w:overflowPunct w:val="0"/>
              <w:jc w:val="center"/>
              <w:rPr>
                <w:rFonts w:hAnsi="宋体"/>
                <w:b/>
                <w:color w:val="auto"/>
                <w:sz w:val="21"/>
                <w:szCs w:val="21"/>
                <w:highlight w:val="none"/>
              </w:rPr>
            </w:pPr>
            <w:r>
              <w:rPr>
                <w:rFonts w:hint="eastAsia" w:hAnsi="宋体"/>
                <w:b/>
                <w:color w:val="auto"/>
                <w:sz w:val="21"/>
                <w:szCs w:val="21"/>
                <w:highlight w:val="none"/>
              </w:rPr>
              <w:t>备注</w:t>
            </w:r>
          </w:p>
          <w:p>
            <w:pPr>
              <w:overflowPunct w:val="0"/>
              <w:jc w:val="center"/>
              <w:rPr>
                <w:rFonts w:hAnsi="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jc w:val="center"/>
        </w:trPr>
        <w:tc>
          <w:tcPr>
            <w:tcW w:w="1134" w:type="dxa"/>
            <w:vMerge w:val="restart"/>
            <w:vAlign w:val="center"/>
          </w:tcPr>
          <w:p>
            <w:pPr>
              <w:overflowPunct w:val="0"/>
              <w:spacing w:line="460" w:lineRule="exact"/>
              <w:jc w:val="center"/>
              <w:rPr>
                <w:rFonts w:hAnsi="宋体"/>
                <w:color w:val="auto"/>
                <w:sz w:val="21"/>
                <w:szCs w:val="21"/>
                <w:highlight w:val="none"/>
              </w:rPr>
            </w:pPr>
            <w:r>
              <w:rPr>
                <w:rFonts w:hint="eastAsia" w:hAnsi="宋体"/>
                <w:color w:val="auto"/>
                <w:sz w:val="21"/>
                <w:szCs w:val="21"/>
                <w:highlight w:val="none"/>
              </w:rPr>
              <w:t>TTWY-20040</w:t>
            </w:r>
          </w:p>
        </w:tc>
        <w:tc>
          <w:tcPr>
            <w:tcW w:w="2457" w:type="dxa"/>
            <w:vMerge w:val="restart"/>
            <w:vAlign w:val="center"/>
          </w:tcPr>
          <w:p>
            <w:pPr>
              <w:overflowPunct w:val="0"/>
              <w:spacing w:line="460" w:lineRule="exact"/>
              <w:jc w:val="center"/>
              <w:rPr>
                <w:rFonts w:hAnsi="宋体"/>
                <w:color w:val="auto"/>
                <w:sz w:val="21"/>
                <w:szCs w:val="21"/>
                <w:highlight w:val="none"/>
              </w:rPr>
            </w:pPr>
            <w:r>
              <w:rPr>
                <w:rFonts w:hint="eastAsia" w:hAnsi="宋体"/>
                <w:color w:val="auto"/>
                <w:sz w:val="21"/>
                <w:szCs w:val="21"/>
                <w:highlight w:val="none"/>
              </w:rPr>
              <w:t>旗云花园销售中心案场及展示区物业服务项目</w:t>
            </w:r>
          </w:p>
        </w:tc>
        <w:tc>
          <w:tcPr>
            <w:tcW w:w="3883" w:type="dxa"/>
            <w:vAlign w:val="center"/>
          </w:tcPr>
          <w:p>
            <w:pPr>
              <w:overflowPunct w:val="0"/>
              <w:spacing w:line="460" w:lineRule="exact"/>
              <w:ind w:firstLine="210" w:firstLineChars="100"/>
              <w:jc w:val="both"/>
              <w:rPr>
                <w:rFonts w:hint="eastAsia"/>
                <w:color w:val="auto"/>
                <w:sz w:val="21"/>
                <w:szCs w:val="21"/>
                <w:highlight w:val="none"/>
                <w:lang w:eastAsia="zh-CN"/>
              </w:rPr>
            </w:pPr>
            <w:r>
              <w:rPr>
                <w:rFonts w:hint="eastAsia"/>
                <w:color w:val="auto"/>
                <w:sz w:val="21"/>
                <w:szCs w:val="21"/>
                <w:highlight w:val="none"/>
                <w:lang w:eastAsia="zh-CN"/>
              </w:rPr>
              <w:t>含税报价：</w:t>
            </w:r>
          </w:p>
          <w:p>
            <w:pPr>
              <w:pStyle w:val="2"/>
              <w:ind w:firstLine="630" w:firstLineChars="300"/>
              <w:rPr>
                <w:rFonts w:hint="eastAsia"/>
                <w:color w:val="auto"/>
                <w:sz w:val="21"/>
                <w:szCs w:val="21"/>
                <w:highlight w:val="none"/>
                <w:lang w:val="en-US" w:eastAsia="zh-CN"/>
              </w:rPr>
            </w:pPr>
            <w:r>
              <w:rPr>
                <w:rFonts w:hint="eastAsia"/>
                <w:color w:val="auto"/>
                <w:sz w:val="21"/>
                <w:szCs w:val="21"/>
                <w:highlight w:val="none"/>
                <w:lang w:val="en-US" w:eastAsia="zh-CN"/>
              </w:rPr>
              <w:t xml:space="preserve">小写：  </w:t>
            </w:r>
          </w:p>
          <w:p>
            <w:pPr>
              <w:pStyle w:val="2"/>
              <w:ind w:firstLine="630" w:firstLineChars="300"/>
              <w:rPr>
                <w:rFonts w:hint="eastAsia"/>
                <w:color w:val="auto"/>
                <w:sz w:val="21"/>
                <w:szCs w:val="21"/>
                <w:highlight w:val="none"/>
                <w:lang w:eastAsia="zh-CN"/>
              </w:rPr>
            </w:pPr>
            <w:r>
              <w:rPr>
                <w:rFonts w:hint="eastAsia"/>
                <w:color w:val="auto"/>
                <w:sz w:val="21"/>
                <w:szCs w:val="21"/>
                <w:highlight w:val="none"/>
                <w:lang w:val="en-US" w:eastAsia="zh-CN"/>
              </w:rPr>
              <w:t>大写：</w:t>
            </w:r>
          </w:p>
        </w:tc>
        <w:tc>
          <w:tcPr>
            <w:tcW w:w="1995" w:type="dxa"/>
            <w:vAlign w:val="center"/>
          </w:tcPr>
          <w:p>
            <w:pPr>
              <w:overflowPunct w:val="0"/>
              <w:spacing w:line="460" w:lineRule="exact"/>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6" w:hRule="atLeast"/>
          <w:jc w:val="center"/>
        </w:trPr>
        <w:tc>
          <w:tcPr>
            <w:tcW w:w="1134" w:type="dxa"/>
            <w:vMerge w:val="continue"/>
            <w:vAlign w:val="center"/>
          </w:tcPr>
          <w:p>
            <w:pPr>
              <w:overflowPunct w:val="0"/>
              <w:spacing w:line="460" w:lineRule="exact"/>
              <w:jc w:val="center"/>
              <w:rPr>
                <w:rFonts w:hAnsi="宋体"/>
                <w:color w:val="auto"/>
                <w:sz w:val="21"/>
                <w:szCs w:val="21"/>
                <w:highlight w:val="none"/>
              </w:rPr>
            </w:pPr>
          </w:p>
        </w:tc>
        <w:tc>
          <w:tcPr>
            <w:tcW w:w="2457" w:type="dxa"/>
            <w:vMerge w:val="continue"/>
            <w:vAlign w:val="center"/>
          </w:tcPr>
          <w:p>
            <w:pPr>
              <w:overflowPunct w:val="0"/>
              <w:spacing w:line="460" w:lineRule="exact"/>
              <w:jc w:val="center"/>
              <w:rPr>
                <w:rFonts w:hAnsi="宋体"/>
                <w:color w:val="auto"/>
                <w:sz w:val="21"/>
                <w:szCs w:val="21"/>
                <w:highlight w:val="none"/>
              </w:rPr>
            </w:pPr>
          </w:p>
        </w:tc>
        <w:tc>
          <w:tcPr>
            <w:tcW w:w="3883" w:type="dxa"/>
            <w:vAlign w:val="center"/>
          </w:tcPr>
          <w:p>
            <w:pPr>
              <w:overflowPunct w:val="0"/>
              <w:spacing w:line="460" w:lineRule="exact"/>
              <w:jc w:val="both"/>
              <w:rPr>
                <w:rFonts w:hint="eastAsia"/>
                <w:color w:val="auto"/>
                <w:sz w:val="21"/>
                <w:szCs w:val="21"/>
                <w:highlight w:val="none"/>
                <w:lang w:eastAsia="zh-CN"/>
              </w:rPr>
            </w:pPr>
            <w:r>
              <w:rPr>
                <w:rFonts w:hint="eastAsia"/>
                <w:color w:val="auto"/>
                <w:sz w:val="21"/>
                <w:szCs w:val="21"/>
                <w:highlight w:val="none"/>
                <w:lang w:eastAsia="zh-CN"/>
              </w:rPr>
              <w:t>不含税报价：</w:t>
            </w:r>
          </w:p>
          <w:p>
            <w:pPr>
              <w:pStyle w:val="2"/>
              <w:ind w:firstLine="630" w:firstLineChars="300"/>
              <w:rPr>
                <w:rFonts w:hint="eastAsia"/>
                <w:color w:val="auto"/>
                <w:sz w:val="21"/>
                <w:szCs w:val="21"/>
                <w:highlight w:val="none"/>
                <w:lang w:val="en-US" w:eastAsia="zh-CN"/>
              </w:rPr>
            </w:pPr>
            <w:r>
              <w:rPr>
                <w:rFonts w:hint="eastAsia"/>
                <w:color w:val="auto"/>
                <w:sz w:val="21"/>
                <w:szCs w:val="21"/>
                <w:highlight w:val="none"/>
                <w:lang w:val="en-US" w:eastAsia="zh-CN"/>
              </w:rPr>
              <w:t xml:space="preserve">小写：  </w:t>
            </w:r>
          </w:p>
          <w:p>
            <w:pPr>
              <w:pStyle w:val="2"/>
              <w:ind w:left="0" w:leftChars="0" w:firstLine="630" w:firstLineChars="300"/>
              <w:rPr>
                <w:rFonts w:hint="eastAsia"/>
                <w:color w:val="auto"/>
                <w:sz w:val="21"/>
                <w:szCs w:val="21"/>
                <w:highlight w:val="none"/>
                <w:lang w:eastAsia="zh-CN"/>
              </w:rPr>
            </w:pPr>
            <w:r>
              <w:rPr>
                <w:rFonts w:hint="eastAsia"/>
                <w:color w:val="auto"/>
                <w:sz w:val="21"/>
                <w:szCs w:val="21"/>
                <w:highlight w:val="none"/>
                <w:lang w:val="en-US" w:eastAsia="zh-CN"/>
              </w:rPr>
              <w:t>大写：</w:t>
            </w:r>
          </w:p>
        </w:tc>
        <w:tc>
          <w:tcPr>
            <w:tcW w:w="1995" w:type="dxa"/>
            <w:vAlign w:val="center"/>
          </w:tcPr>
          <w:p>
            <w:pPr>
              <w:overflowPunct w:val="0"/>
              <w:spacing w:line="460" w:lineRule="exact"/>
              <w:jc w:val="center"/>
              <w:rPr>
                <w:rFonts w:hAnsi="宋体"/>
                <w:color w:val="auto"/>
                <w:sz w:val="21"/>
                <w:szCs w:val="21"/>
                <w:highlight w:val="none"/>
              </w:rPr>
            </w:pPr>
          </w:p>
        </w:tc>
      </w:tr>
    </w:tbl>
    <w:p>
      <w:pPr>
        <w:overflowPunct w:val="0"/>
        <w:spacing w:line="460" w:lineRule="exact"/>
        <w:rPr>
          <w:rFonts w:hAnsi="宋体"/>
          <w:color w:val="auto"/>
          <w:sz w:val="21"/>
          <w:szCs w:val="21"/>
          <w:highlight w:val="none"/>
        </w:rPr>
      </w:pP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 xml:space="preserve">日期：年月日 </w:t>
      </w:r>
    </w:p>
    <w:p>
      <w:pPr>
        <w:pStyle w:val="137"/>
        <w:spacing w:line="460" w:lineRule="exact"/>
        <w:ind w:firstLine="1583" w:firstLineChars="754"/>
        <w:rPr>
          <w:rFonts w:ascii="宋体" w:eastAsia="宋体"/>
          <w:color w:val="auto"/>
          <w:sz w:val="21"/>
          <w:szCs w:val="21"/>
          <w:highlight w:val="none"/>
        </w:rPr>
      </w:pPr>
    </w:p>
    <w:p>
      <w:pPr>
        <w:pStyle w:val="13"/>
        <w:spacing w:line="360" w:lineRule="auto"/>
        <w:rPr>
          <w:color w:val="auto"/>
          <w:sz w:val="22"/>
          <w:szCs w:val="22"/>
          <w:highlight w:val="none"/>
        </w:rPr>
      </w:pPr>
      <w:r>
        <w:rPr>
          <w:rFonts w:hint="eastAsia"/>
          <w:color w:val="auto"/>
          <w:sz w:val="21"/>
          <w:szCs w:val="21"/>
          <w:highlight w:val="none"/>
        </w:rPr>
        <w:t>注：磋商总价栏须用文字和数字两种方式表示的磋商总价。磋商总价大小写不一致，以大写为准。磋商总价必须准确唯一且应包含完成本项目的所有费用</w:t>
      </w:r>
      <w:bookmarkEnd w:id="155"/>
      <w:bookmarkEnd w:id="156"/>
      <w:bookmarkEnd w:id="157"/>
      <w:bookmarkEnd w:id="158"/>
      <w:bookmarkEnd w:id="159"/>
      <w:r>
        <w:rPr>
          <w:rFonts w:hint="eastAsia"/>
          <w:color w:val="auto"/>
          <w:sz w:val="21"/>
          <w:szCs w:val="21"/>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bookmarkEnd w:id="160"/>
    <w:bookmarkEnd w:id="161"/>
    <w:bookmarkEnd w:id="162"/>
    <w:bookmarkEnd w:id="163"/>
    <w:bookmarkEnd w:id="164"/>
    <w:bookmarkEnd w:id="165"/>
    <w:bookmarkEnd w:id="166"/>
    <w:bookmarkEnd w:id="167"/>
    <w:bookmarkEnd w:id="168"/>
    <w:bookmarkEnd w:id="169"/>
    <w:bookmarkEnd w:id="170"/>
    <w:bookmarkEnd w:id="171"/>
    <w:bookmarkEnd w:id="172"/>
    <w:p>
      <w:pPr>
        <w:pStyle w:val="4"/>
        <w:numPr>
          <w:ilvl w:val="0"/>
          <w:numId w:val="34"/>
        </w:numPr>
        <w:jc w:val="center"/>
        <w:rPr>
          <w:bCs/>
          <w:color w:val="auto"/>
          <w:sz w:val="28"/>
          <w:szCs w:val="28"/>
          <w:highlight w:val="none"/>
        </w:rPr>
      </w:pPr>
      <w:bookmarkStart w:id="173" w:name="_Toc467987855"/>
      <w:bookmarkStart w:id="174" w:name="_Toc23432"/>
      <w:bookmarkStart w:id="175" w:name="_Toc468606061"/>
      <w:bookmarkStart w:id="176" w:name="_Toc480021084"/>
      <w:bookmarkStart w:id="177" w:name="_Toc7897889"/>
      <w:bookmarkStart w:id="178" w:name="_Toc480020288"/>
      <w:bookmarkStart w:id="179" w:name="_Toc31530"/>
      <w:bookmarkStart w:id="180" w:name="_Toc468157568"/>
      <w:bookmarkStart w:id="181" w:name="_Toc480010740"/>
      <w:bookmarkStart w:id="182" w:name="_Toc479991614"/>
      <w:r>
        <w:rPr>
          <w:rFonts w:hint="eastAsia"/>
          <w:bCs/>
          <w:color w:val="auto"/>
          <w:sz w:val="28"/>
          <w:szCs w:val="28"/>
          <w:highlight w:val="none"/>
        </w:rPr>
        <w:t>分项报价表</w:t>
      </w:r>
      <w:bookmarkEnd w:id="173"/>
      <w:bookmarkEnd w:id="174"/>
      <w:bookmarkEnd w:id="175"/>
      <w:bookmarkEnd w:id="176"/>
      <w:bookmarkEnd w:id="177"/>
      <w:bookmarkEnd w:id="178"/>
      <w:bookmarkEnd w:id="179"/>
      <w:bookmarkEnd w:id="180"/>
      <w:bookmarkEnd w:id="181"/>
      <w:bookmarkEnd w:id="182"/>
    </w:p>
    <w:p>
      <w:pPr>
        <w:pStyle w:val="21"/>
        <w:spacing w:line="380" w:lineRule="exact"/>
        <w:ind w:firstLine="422" w:firstLineChars="200"/>
        <w:jc w:val="left"/>
        <w:rPr>
          <w:rFonts w:hAnsi="宋体"/>
          <w:color w:val="auto"/>
          <w:sz w:val="21"/>
          <w:szCs w:val="21"/>
          <w:highlight w:val="none"/>
        </w:rPr>
      </w:pPr>
      <w:r>
        <w:rPr>
          <w:rFonts w:hint="eastAsia" w:hAnsi="宋体"/>
          <w:color w:val="auto"/>
          <w:sz w:val="21"/>
          <w:szCs w:val="21"/>
          <w:highlight w:val="none"/>
        </w:rPr>
        <w:t xml:space="preserve">项目名称：                                 </w:t>
      </w:r>
    </w:p>
    <w:p>
      <w:pPr>
        <w:pStyle w:val="21"/>
        <w:spacing w:line="380" w:lineRule="exact"/>
        <w:ind w:firstLine="422" w:firstLineChars="200"/>
        <w:jc w:val="left"/>
        <w:rPr>
          <w:rFonts w:hAnsi="宋体"/>
          <w:color w:val="auto"/>
          <w:sz w:val="21"/>
          <w:szCs w:val="21"/>
          <w:highlight w:val="none"/>
        </w:rPr>
      </w:pPr>
      <w:r>
        <w:rPr>
          <w:rFonts w:hint="eastAsia" w:hAnsi="宋体"/>
          <w:color w:val="auto"/>
          <w:sz w:val="21"/>
          <w:szCs w:val="21"/>
          <w:highlight w:val="none"/>
        </w:rPr>
        <w:t>项目编号：</w:t>
      </w:r>
    </w:p>
    <w:p>
      <w:pPr>
        <w:pStyle w:val="21"/>
        <w:spacing w:line="380" w:lineRule="exact"/>
        <w:jc w:val="right"/>
        <w:rPr>
          <w:rFonts w:hAnsi="宋体"/>
          <w:color w:val="auto"/>
          <w:sz w:val="21"/>
          <w:szCs w:val="21"/>
          <w:highlight w:val="none"/>
        </w:rPr>
      </w:pPr>
      <w:r>
        <w:rPr>
          <w:rFonts w:hint="eastAsia" w:hAnsi="宋体"/>
          <w:color w:val="auto"/>
          <w:sz w:val="21"/>
          <w:szCs w:val="21"/>
          <w:highlight w:val="none"/>
        </w:rPr>
        <w:t xml:space="preserve">                                                单位：元/（人民币）</w:t>
      </w:r>
    </w:p>
    <w:p>
      <w:pPr>
        <w:pStyle w:val="21"/>
        <w:spacing w:line="380" w:lineRule="atLeast"/>
        <w:rPr>
          <w:rFonts w:hAnsi="宋体"/>
          <w:color w:val="auto"/>
          <w:sz w:val="21"/>
          <w:szCs w:val="21"/>
          <w:highlight w:val="none"/>
        </w:rPr>
      </w:pPr>
    </w:p>
    <w:tbl>
      <w:tblPr>
        <w:tblStyle w:val="53"/>
        <w:tblW w:w="87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166"/>
        <w:gridCol w:w="2967"/>
        <w:gridCol w:w="1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5" w:type="dxa"/>
            <w:vAlign w:val="center"/>
          </w:tcPr>
          <w:p>
            <w:pPr>
              <w:spacing w:line="380" w:lineRule="exac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序号</w:t>
            </w:r>
          </w:p>
        </w:tc>
        <w:tc>
          <w:tcPr>
            <w:tcW w:w="3166" w:type="dxa"/>
            <w:vAlign w:val="center"/>
          </w:tcPr>
          <w:p>
            <w:pPr>
              <w:spacing w:line="380" w:lineRule="exac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w:t>
            </w:r>
          </w:p>
        </w:tc>
        <w:tc>
          <w:tcPr>
            <w:tcW w:w="2967" w:type="dxa"/>
            <w:vAlign w:val="center"/>
          </w:tcPr>
          <w:p>
            <w:pPr>
              <w:snapToGrid w:val="0"/>
              <w:spacing w:line="360" w:lineRule="auto"/>
              <w:contextualSpacing/>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bCs/>
                <w:color w:val="auto"/>
                <w:sz w:val="21"/>
                <w:szCs w:val="21"/>
                <w:highlight w:val="none"/>
              </w:rPr>
              <w:t>分项报价（元）</w:t>
            </w:r>
          </w:p>
        </w:tc>
        <w:tc>
          <w:tcPr>
            <w:tcW w:w="1645" w:type="dxa"/>
            <w:vAlign w:val="center"/>
          </w:tcPr>
          <w:p>
            <w:pPr>
              <w:spacing w:line="380" w:lineRule="exac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5" w:type="dxa"/>
            <w:vAlign w:val="center"/>
          </w:tcPr>
          <w:p>
            <w:pPr>
              <w:ind w:right="-3"/>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3166" w:type="dxa"/>
            <w:vAlign w:val="center"/>
          </w:tcPr>
          <w:p>
            <w:pPr>
              <w:snapToGrid w:val="0"/>
              <w:spacing w:line="360" w:lineRule="auto"/>
              <w:contextualSpacing/>
              <w:jc w:val="center"/>
              <w:rPr>
                <w:rFonts w:asciiTheme="minorEastAsia" w:hAnsiTheme="minorEastAsia" w:eastAsiaTheme="minorEastAsia"/>
                <w:color w:val="auto"/>
                <w:sz w:val="21"/>
                <w:szCs w:val="21"/>
                <w:highlight w:val="none"/>
              </w:rPr>
            </w:pPr>
          </w:p>
        </w:tc>
        <w:tc>
          <w:tcPr>
            <w:tcW w:w="2967" w:type="dxa"/>
            <w:vAlign w:val="center"/>
          </w:tcPr>
          <w:p>
            <w:pPr>
              <w:snapToGrid w:val="0"/>
              <w:spacing w:line="360" w:lineRule="auto"/>
              <w:contextualSpacing/>
              <w:jc w:val="center"/>
              <w:rPr>
                <w:rFonts w:asciiTheme="minorEastAsia" w:hAnsiTheme="minorEastAsia" w:eastAsiaTheme="minorEastAsia"/>
                <w:b/>
                <w:color w:val="auto"/>
                <w:sz w:val="21"/>
                <w:szCs w:val="21"/>
                <w:highlight w:val="none"/>
              </w:rPr>
            </w:pPr>
          </w:p>
        </w:tc>
        <w:tc>
          <w:tcPr>
            <w:tcW w:w="1645" w:type="dxa"/>
            <w:vAlign w:val="center"/>
          </w:tcPr>
          <w:p>
            <w:pPr>
              <w:ind w:right="17"/>
              <w:jc w:val="center"/>
              <w:rPr>
                <w:rFonts w:asciiTheme="minorEastAsia" w:hAnsiTheme="minorEastAsia"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5" w:type="dxa"/>
            <w:vAlign w:val="center"/>
          </w:tcPr>
          <w:p>
            <w:pPr>
              <w:ind w:right="-3"/>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p>
        </w:tc>
        <w:tc>
          <w:tcPr>
            <w:tcW w:w="3166" w:type="dxa"/>
            <w:vAlign w:val="center"/>
          </w:tcPr>
          <w:p>
            <w:pPr>
              <w:snapToGrid w:val="0"/>
              <w:spacing w:line="360" w:lineRule="auto"/>
              <w:contextualSpacing/>
              <w:jc w:val="center"/>
              <w:rPr>
                <w:rFonts w:asciiTheme="minorEastAsia" w:hAnsiTheme="minorEastAsia" w:eastAsiaTheme="minorEastAsia"/>
                <w:color w:val="auto"/>
                <w:sz w:val="21"/>
                <w:szCs w:val="21"/>
                <w:highlight w:val="none"/>
              </w:rPr>
            </w:pPr>
          </w:p>
        </w:tc>
        <w:tc>
          <w:tcPr>
            <w:tcW w:w="2967" w:type="dxa"/>
            <w:vAlign w:val="center"/>
          </w:tcPr>
          <w:p>
            <w:pPr>
              <w:snapToGrid w:val="0"/>
              <w:spacing w:line="360" w:lineRule="auto"/>
              <w:contextualSpacing/>
              <w:jc w:val="center"/>
              <w:rPr>
                <w:rFonts w:asciiTheme="minorEastAsia" w:hAnsiTheme="minorEastAsia" w:eastAsiaTheme="minorEastAsia"/>
                <w:b/>
                <w:color w:val="auto"/>
                <w:sz w:val="21"/>
                <w:szCs w:val="21"/>
                <w:highlight w:val="none"/>
              </w:rPr>
            </w:pPr>
          </w:p>
        </w:tc>
        <w:tc>
          <w:tcPr>
            <w:tcW w:w="1645" w:type="dxa"/>
            <w:vAlign w:val="center"/>
          </w:tcPr>
          <w:p>
            <w:pPr>
              <w:ind w:right="17"/>
              <w:jc w:val="center"/>
              <w:rPr>
                <w:rFonts w:asciiTheme="minorEastAsia" w:hAnsiTheme="minorEastAsia"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5" w:type="dxa"/>
            <w:vAlign w:val="center"/>
          </w:tcPr>
          <w:p>
            <w:pPr>
              <w:ind w:right="-3"/>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p>
        </w:tc>
        <w:tc>
          <w:tcPr>
            <w:tcW w:w="3166" w:type="dxa"/>
            <w:vAlign w:val="center"/>
          </w:tcPr>
          <w:p>
            <w:pPr>
              <w:snapToGrid w:val="0"/>
              <w:spacing w:line="360" w:lineRule="auto"/>
              <w:contextualSpacing/>
              <w:jc w:val="center"/>
              <w:rPr>
                <w:rFonts w:asciiTheme="minorEastAsia" w:hAnsiTheme="minorEastAsia" w:eastAsiaTheme="minorEastAsia"/>
                <w:color w:val="auto"/>
                <w:sz w:val="21"/>
                <w:szCs w:val="21"/>
                <w:highlight w:val="none"/>
              </w:rPr>
            </w:pPr>
          </w:p>
        </w:tc>
        <w:tc>
          <w:tcPr>
            <w:tcW w:w="2967" w:type="dxa"/>
            <w:vAlign w:val="center"/>
          </w:tcPr>
          <w:p>
            <w:pPr>
              <w:snapToGrid w:val="0"/>
              <w:spacing w:line="360" w:lineRule="auto"/>
              <w:contextualSpacing/>
              <w:jc w:val="center"/>
              <w:rPr>
                <w:rFonts w:asciiTheme="minorEastAsia" w:hAnsiTheme="minorEastAsia" w:eastAsiaTheme="minorEastAsia"/>
                <w:b/>
                <w:color w:val="auto"/>
                <w:sz w:val="21"/>
                <w:szCs w:val="21"/>
                <w:highlight w:val="none"/>
              </w:rPr>
            </w:pPr>
          </w:p>
        </w:tc>
        <w:tc>
          <w:tcPr>
            <w:tcW w:w="1645" w:type="dxa"/>
            <w:vAlign w:val="center"/>
          </w:tcPr>
          <w:p>
            <w:pPr>
              <w:ind w:right="17"/>
              <w:jc w:val="center"/>
              <w:rPr>
                <w:rFonts w:asciiTheme="minorEastAsia" w:hAnsiTheme="minorEastAsia"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5" w:type="dxa"/>
            <w:vAlign w:val="center"/>
          </w:tcPr>
          <w:p>
            <w:pPr>
              <w:ind w:right="-3"/>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p>
        </w:tc>
        <w:tc>
          <w:tcPr>
            <w:tcW w:w="3166" w:type="dxa"/>
            <w:vAlign w:val="center"/>
          </w:tcPr>
          <w:p>
            <w:pPr>
              <w:snapToGrid w:val="0"/>
              <w:spacing w:line="360" w:lineRule="auto"/>
              <w:contextualSpacing/>
              <w:jc w:val="center"/>
              <w:rPr>
                <w:rFonts w:asciiTheme="minorEastAsia" w:hAnsiTheme="minorEastAsia" w:eastAsiaTheme="minorEastAsia"/>
                <w:color w:val="auto"/>
                <w:sz w:val="21"/>
                <w:szCs w:val="21"/>
                <w:highlight w:val="none"/>
              </w:rPr>
            </w:pPr>
          </w:p>
        </w:tc>
        <w:tc>
          <w:tcPr>
            <w:tcW w:w="2967" w:type="dxa"/>
            <w:vAlign w:val="center"/>
          </w:tcPr>
          <w:p>
            <w:pPr>
              <w:snapToGrid w:val="0"/>
              <w:spacing w:line="360" w:lineRule="auto"/>
              <w:contextualSpacing/>
              <w:jc w:val="center"/>
              <w:rPr>
                <w:rFonts w:asciiTheme="minorEastAsia" w:hAnsiTheme="minorEastAsia" w:eastAsiaTheme="minorEastAsia"/>
                <w:b/>
                <w:color w:val="auto"/>
                <w:sz w:val="21"/>
                <w:szCs w:val="21"/>
                <w:highlight w:val="none"/>
              </w:rPr>
            </w:pPr>
          </w:p>
        </w:tc>
        <w:tc>
          <w:tcPr>
            <w:tcW w:w="1645" w:type="dxa"/>
            <w:vAlign w:val="center"/>
          </w:tcPr>
          <w:p>
            <w:pPr>
              <w:ind w:right="17"/>
              <w:jc w:val="center"/>
              <w:rPr>
                <w:rFonts w:asciiTheme="minorEastAsia" w:hAnsiTheme="minorEastAsia"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5" w:type="dxa"/>
            <w:vAlign w:val="center"/>
          </w:tcPr>
          <w:p>
            <w:pPr>
              <w:ind w:right="-3"/>
              <w:jc w:val="center"/>
              <w:rPr>
                <w:rFonts w:asciiTheme="minorEastAsia" w:hAnsiTheme="minorEastAsia" w:eastAsiaTheme="minorEastAsia"/>
                <w:color w:val="auto"/>
                <w:sz w:val="21"/>
                <w:szCs w:val="21"/>
                <w:highlight w:val="none"/>
              </w:rPr>
            </w:pPr>
          </w:p>
        </w:tc>
        <w:tc>
          <w:tcPr>
            <w:tcW w:w="3166" w:type="dxa"/>
            <w:vAlign w:val="center"/>
          </w:tcPr>
          <w:p>
            <w:pPr>
              <w:snapToGrid w:val="0"/>
              <w:spacing w:line="360" w:lineRule="auto"/>
              <w:contextualSpacing/>
              <w:jc w:val="center"/>
              <w:rPr>
                <w:rFonts w:asciiTheme="minorEastAsia" w:hAnsiTheme="minorEastAsia" w:eastAsiaTheme="minorEastAsia"/>
                <w:color w:val="auto"/>
                <w:sz w:val="21"/>
                <w:szCs w:val="21"/>
                <w:highlight w:val="none"/>
              </w:rPr>
            </w:pPr>
          </w:p>
        </w:tc>
        <w:tc>
          <w:tcPr>
            <w:tcW w:w="2967" w:type="dxa"/>
            <w:vAlign w:val="center"/>
          </w:tcPr>
          <w:p>
            <w:pPr>
              <w:snapToGrid w:val="0"/>
              <w:spacing w:line="360" w:lineRule="auto"/>
              <w:contextualSpacing/>
              <w:jc w:val="center"/>
              <w:rPr>
                <w:rFonts w:asciiTheme="minorEastAsia" w:hAnsiTheme="minorEastAsia" w:eastAsiaTheme="minorEastAsia"/>
                <w:b/>
                <w:color w:val="auto"/>
                <w:sz w:val="21"/>
                <w:szCs w:val="21"/>
                <w:highlight w:val="none"/>
              </w:rPr>
            </w:pPr>
          </w:p>
        </w:tc>
        <w:tc>
          <w:tcPr>
            <w:tcW w:w="1645" w:type="dxa"/>
            <w:vAlign w:val="center"/>
          </w:tcPr>
          <w:p>
            <w:pPr>
              <w:ind w:right="17"/>
              <w:jc w:val="center"/>
              <w:rPr>
                <w:rFonts w:asciiTheme="minorEastAsia" w:hAnsiTheme="minorEastAsia"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5" w:type="dxa"/>
            <w:vAlign w:val="center"/>
          </w:tcPr>
          <w:p>
            <w:pPr>
              <w:ind w:right="-3"/>
              <w:jc w:val="center"/>
              <w:rPr>
                <w:rFonts w:asciiTheme="minorEastAsia" w:hAnsiTheme="minorEastAsia" w:eastAsiaTheme="minorEastAsia"/>
                <w:color w:val="auto"/>
                <w:sz w:val="21"/>
                <w:szCs w:val="21"/>
                <w:highlight w:val="none"/>
              </w:rPr>
            </w:pPr>
          </w:p>
        </w:tc>
        <w:tc>
          <w:tcPr>
            <w:tcW w:w="3166" w:type="dxa"/>
            <w:vAlign w:val="center"/>
          </w:tcPr>
          <w:p>
            <w:pPr>
              <w:snapToGrid w:val="0"/>
              <w:spacing w:line="360" w:lineRule="auto"/>
              <w:contextualSpacing/>
              <w:jc w:val="center"/>
              <w:rPr>
                <w:rFonts w:asciiTheme="minorEastAsia" w:hAnsiTheme="minorEastAsia" w:eastAsiaTheme="minorEastAsia"/>
                <w:color w:val="auto"/>
                <w:sz w:val="21"/>
                <w:szCs w:val="21"/>
                <w:highlight w:val="none"/>
              </w:rPr>
            </w:pPr>
          </w:p>
        </w:tc>
        <w:tc>
          <w:tcPr>
            <w:tcW w:w="2967" w:type="dxa"/>
            <w:vAlign w:val="center"/>
          </w:tcPr>
          <w:p>
            <w:pPr>
              <w:snapToGrid w:val="0"/>
              <w:spacing w:line="360" w:lineRule="auto"/>
              <w:contextualSpacing/>
              <w:jc w:val="center"/>
              <w:rPr>
                <w:rFonts w:asciiTheme="minorEastAsia" w:hAnsiTheme="minorEastAsia" w:eastAsiaTheme="minorEastAsia"/>
                <w:b/>
                <w:color w:val="auto"/>
                <w:sz w:val="21"/>
                <w:szCs w:val="21"/>
                <w:highlight w:val="none"/>
              </w:rPr>
            </w:pPr>
          </w:p>
        </w:tc>
        <w:tc>
          <w:tcPr>
            <w:tcW w:w="1645" w:type="dxa"/>
            <w:vAlign w:val="center"/>
          </w:tcPr>
          <w:p>
            <w:pPr>
              <w:ind w:right="17"/>
              <w:jc w:val="center"/>
              <w:rPr>
                <w:rFonts w:asciiTheme="minorEastAsia" w:hAnsiTheme="minorEastAsia"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5" w:type="dxa"/>
            <w:vAlign w:val="center"/>
          </w:tcPr>
          <w:p>
            <w:pPr>
              <w:ind w:right="-3"/>
              <w:jc w:val="center"/>
              <w:rPr>
                <w:rFonts w:asciiTheme="minorEastAsia" w:hAnsiTheme="minorEastAsia" w:eastAsiaTheme="minorEastAsia"/>
                <w:color w:val="auto"/>
                <w:sz w:val="21"/>
                <w:szCs w:val="21"/>
                <w:highlight w:val="none"/>
              </w:rPr>
            </w:pPr>
          </w:p>
        </w:tc>
        <w:tc>
          <w:tcPr>
            <w:tcW w:w="3166" w:type="dxa"/>
            <w:vAlign w:val="center"/>
          </w:tcPr>
          <w:p>
            <w:pPr>
              <w:snapToGrid w:val="0"/>
              <w:spacing w:line="360" w:lineRule="auto"/>
              <w:contextualSpacing/>
              <w:jc w:val="center"/>
              <w:rPr>
                <w:rFonts w:asciiTheme="minorEastAsia" w:hAnsiTheme="minorEastAsia" w:eastAsiaTheme="minorEastAsia"/>
                <w:color w:val="auto"/>
                <w:sz w:val="21"/>
                <w:szCs w:val="21"/>
                <w:highlight w:val="none"/>
              </w:rPr>
            </w:pPr>
          </w:p>
        </w:tc>
        <w:tc>
          <w:tcPr>
            <w:tcW w:w="2967" w:type="dxa"/>
            <w:vAlign w:val="center"/>
          </w:tcPr>
          <w:p>
            <w:pPr>
              <w:snapToGrid w:val="0"/>
              <w:spacing w:line="360" w:lineRule="auto"/>
              <w:contextualSpacing/>
              <w:jc w:val="center"/>
              <w:rPr>
                <w:rFonts w:asciiTheme="minorEastAsia" w:hAnsiTheme="minorEastAsia" w:eastAsiaTheme="minorEastAsia"/>
                <w:b/>
                <w:color w:val="auto"/>
                <w:sz w:val="21"/>
                <w:szCs w:val="21"/>
                <w:highlight w:val="none"/>
              </w:rPr>
            </w:pPr>
          </w:p>
        </w:tc>
        <w:tc>
          <w:tcPr>
            <w:tcW w:w="1645" w:type="dxa"/>
            <w:vAlign w:val="center"/>
          </w:tcPr>
          <w:p>
            <w:pPr>
              <w:ind w:right="17"/>
              <w:jc w:val="center"/>
              <w:rPr>
                <w:rFonts w:asciiTheme="minorEastAsia" w:hAnsiTheme="minorEastAsia"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5" w:type="dxa"/>
            <w:vAlign w:val="center"/>
          </w:tcPr>
          <w:p>
            <w:pPr>
              <w:ind w:right="-3"/>
              <w:jc w:val="center"/>
              <w:rPr>
                <w:rFonts w:asciiTheme="minorEastAsia" w:hAnsiTheme="minorEastAsia" w:eastAsiaTheme="minorEastAsia"/>
                <w:color w:val="auto"/>
                <w:sz w:val="21"/>
                <w:szCs w:val="21"/>
                <w:highlight w:val="none"/>
              </w:rPr>
            </w:pPr>
          </w:p>
        </w:tc>
        <w:tc>
          <w:tcPr>
            <w:tcW w:w="3166" w:type="dxa"/>
            <w:vAlign w:val="center"/>
          </w:tcPr>
          <w:p>
            <w:pPr>
              <w:snapToGrid w:val="0"/>
              <w:spacing w:line="360" w:lineRule="auto"/>
              <w:contextualSpacing/>
              <w:jc w:val="center"/>
              <w:rPr>
                <w:rFonts w:asciiTheme="minorEastAsia" w:hAnsiTheme="minorEastAsia" w:eastAsiaTheme="minorEastAsia"/>
                <w:color w:val="auto"/>
                <w:sz w:val="21"/>
                <w:szCs w:val="21"/>
                <w:highlight w:val="none"/>
              </w:rPr>
            </w:pPr>
          </w:p>
        </w:tc>
        <w:tc>
          <w:tcPr>
            <w:tcW w:w="2967" w:type="dxa"/>
            <w:vAlign w:val="center"/>
          </w:tcPr>
          <w:p>
            <w:pPr>
              <w:snapToGrid w:val="0"/>
              <w:spacing w:line="360" w:lineRule="auto"/>
              <w:contextualSpacing/>
              <w:jc w:val="center"/>
              <w:rPr>
                <w:rFonts w:asciiTheme="minorEastAsia" w:hAnsiTheme="minorEastAsia" w:eastAsiaTheme="minorEastAsia"/>
                <w:b/>
                <w:color w:val="auto"/>
                <w:sz w:val="21"/>
                <w:szCs w:val="21"/>
                <w:highlight w:val="none"/>
              </w:rPr>
            </w:pPr>
          </w:p>
        </w:tc>
        <w:tc>
          <w:tcPr>
            <w:tcW w:w="1645" w:type="dxa"/>
            <w:vAlign w:val="center"/>
          </w:tcPr>
          <w:p>
            <w:pPr>
              <w:ind w:right="17"/>
              <w:jc w:val="center"/>
              <w:rPr>
                <w:rFonts w:asciiTheme="minorEastAsia" w:hAnsiTheme="minorEastAsia"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9" w:hRule="atLeast"/>
          <w:jc w:val="center"/>
        </w:trPr>
        <w:tc>
          <w:tcPr>
            <w:tcW w:w="4111" w:type="dxa"/>
            <w:gridSpan w:val="2"/>
            <w:vAlign w:val="center"/>
          </w:tcPr>
          <w:p>
            <w:pPr>
              <w:ind w:right="-3"/>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合计</w:t>
            </w:r>
          </w:p>
        </w:tc>
        <w:tc>
          <w:tcPr>
            <w:tcW w:w="4612" w:type="dxa"/>
            <w:gridSpan w:val="2"/>
            <w:vAlign w:val="center"/>
          </w:tcPr>
          <w:p>
            <w:pPr>
              <w:ind w:right="1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大写：</w:t>
            </w:r>
          </w:p>
          <w:p>
            <w:pPr>
              <w:pStyle w:val="21"/>
              <w:jc w:val="left"/>
              <w:rPr>
                <w:rFonts w:asciiTheme="minorEastAsia" w:hAnsiTheme="minorEastAsia" w:eastAsiaTheme="minorEastAsia"/>
                <w:b w:val="0"/>
                <w:bCs w:val="0"/>
                <w:color w:val="auto"/>
                <w:sz w:val="21"/>
                <w:szCs w:val="21"/>
                <w:highlight w:val="none"/>
              </w:rPr>
            </w:pPr>
            <w:r>
              <w:rPr>
                <w:rFonts w:hint="eastAsia" w:asciiTheme="minorEastAsia" w:hAnsiTheme="minorEastAsia" w:eastAsiaTheme="minorEastAsia"/>
                <w:b w:val="0"/>
                <w:bCs w:val="0"/>
                <w:color w:val="auto"/>
                <w:sz w:val="21"/>
                <w:szCs w:val="21"/>
                <w:highlight w:val="none"/>
              </w:rPr>
              <w:t>小写：</w:t>
            </w:r>
          </w:p>
        </w:tc>
      </w:tr>
    </w:tbl>
    <w:p>
      <w:pPr>
        <w:rPr>
          <w:color w:val="auto"/>
          <w:highlight w:val="none"/>
        </w:rPr>
      </w:pPr>
    </w:p>
    <w:p>
      <w:pPr>
        <w:pStyle w:val="21"/>
        <w:spacing w:line="380" w:lineRule="atLeast"/>
        <w:jc w:val="left"/>
        <w:rPr>
          <w:rFonts w:hAnsi="宋体"/>
          <w:b w:val="0"/>
          <w:bCs w:val="0"/>
          <w:color w:val="auto"/>
          <w:sz w:val="21"/>
          <w:szCs w:val="21"/>
          <w:highlight w:val="none"/>
        </w:rPr>
      </w:pPr>
      <w:r>
        <w:rPr>
          <w:rFonts w:hint="eastAsia" w:hAnsi="宋体"/>
          <w:b w:val="0"/>
          <w:bCs w:val="0"/>
          <w:color w:val="auto"/>
          <w:sz w:val="21"/>
          <w:szCs w:val="21"/>
          <w:highlight w:val="none"/>
        </w:rPr>
        <w:t>注：1.此表为报价总表的明细表，详细报价可另附页说明。</w:t>
      </w:r>
    </w:p>
    <w:p>
      <w:pPr>
        <w:pStyle w:val="21"/>
        <w:spacing w:line="380" w:lineRule="atLeast"/>
        <w:ind w:firstLine="420" w:firstLineChars="200"/>
        <w:jc w:val="left"/>
        <w:rPr>
          <w:rFonts w:hAnsi="宋体"/>
          <w:b w:val="0"/>
          <w:bCs w:val="0"/>
          <w:color w:val="auto"/>
          <w:sz w:val="21"/>
          <w:szCs w:val="21"/>
          <w:highlight w:val="none"/>
        </w:rPr>
      </w:pPr>
    </w:p>
    <w:p>
      <w:pPr>
        <w:pStyle w:val="21"/>
        <w:jc w:val="left"/>
        <w:rPr>
          <w:rFonts w:hAnsi="宋体"/>
          <w:b w:val="0"/>
          <w:bCs w:val="0"/>
          <w:color w:val="auto"/>
          <w:sz w:val="21"/>
          <w:szCs w:val="21"/>
          <w:highlight w:val="none"/>
        </w:rPr>
      </w:pPr>
    </w:p>
    <w:p>
      <w:pPr>
        <w:overflowPunct w:val="0"/>
        <w:spacing w:line="460" w:lineRule="exact"/>
        <w:rPr>
          <w:rFonts w:hAnsi="宋体"/>
          <w:color w:val="auto"/>
          <w:sz w:val="21"/>
          <w:szCs w:val="21"/>
          <w:highlight w:val="none"/>
        </w:rPr>
      </w:pPr>
      <w:bookmarkStart w:id="183" w:name="_Toc458262638"/>
      <w:bookmarkStart w:id="184" w:name="_Toc454701405"/>
      <w:bookmarkStart w:id="185" w:name="_Toc476976200"/>
      <w:bookmarkStart w:id="186" w:name="_Toc486671572"/>
      <w:bookmarkStart w:id="187" w:name="_Toc467236768"/>
      <w:bookmarkStart w:id="188" w:name="_Toc110953866"/>
      <w:bookmarkStart w:id="189" w:name="_Toc479991616"/>
      <w:bookmarkStart w:id="190" w:name="_Toc480010742"/>
      <w:bookmarkStart w:id="191" w:name="_Toc480021085"/>
      <w:bookmarkStart w:id="192" w:name="_Toc467987856"/>
      <w:bookmarkStart w:id="193" w:name="_Toc480020289"/>
      <w:bookmarkStart w:id="194" w:name="_Toc468157569"/>
      <w:bookmarkStart w:id="195" w:name="_Toc468606064"/>
      <w:r>
        <w:rPr>
          <w:rFonts w:hint="eastAsia" w:hAnsi="宋体"/>
          <w:color w:val="auto"/>
          <w:sz w:val="21"/>
          <w:szCs w:val="21"/>
          <w:highlight w:val="none"/>
        </w:rPr>
        <w:t>供应商名称（加盖公章）：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 xml:space="preserve">日期：年月日 </w:t>
      </w:r>
    </w:p>
    <w:p>
      <w:pPr>
        <w:pStyle w:val="4"/>
        <w:pageBreakBefore/>
        <w:spacing w:line="360" w:lineRule="auto"/>
        <w:jc w:val="center"/>
        <w:rPr>
          <w:bCs/>
          <w:color w:val="auto"/>
          <w:sz w:val="28"/>
          <w:szCs w:val="28"/>
          <w:highlight w:val="none"/>
        </w:rPr>
      </w:pPr>
      <w:bookmarkStart w:id="196" w:name="_Toc12158"/>
      <w:bookmarkStart w:id="197" w:name="_Toc18450"/>
      <w:bookmarkStart w:id="198" w:name="_Toc7897890"/>
      <w:bookmarkStart w:id="199" w:name="_Toc27849"/>
      <w:r>
        <w:rPr>
          <w:rFonts w:hint="eastAsia"/>
          <w:bCs/>
          <w:color w:val="auto"/>
          <w:sz w:val="28"/>
          <w:szCs w:val="28"/>
          <w:highlight w:val="none"/>
        </w:rPr>
        <w:t>第二部分  商务文件</w:t>
      </w:r>
      <w:bookmarkEnd w:id="196"/>
      <w:bookmarkEnd w:id="197"/>
      <w:bookmarkStart w:id="200" w:name="_Hlt10456397"/>
      <w:bookmarkEnd w:id="200"/>
      <w:bookmarkStart w:id="201" w:name="_Hlt10519799"/>
      <w:bookmarkEnd w:id="201"/>
    </w:p>
    <w:p>
      <w:pPr>
        <w:rPr>
          <w:color w:val="auto"/>
          <w:highlight w:val="none"/>
        </w:rPr>
      </w:pPr>
    </w:p>
    <w:p>
      <w:pPr>
        <w:pStyle w:val="4"/>
        <w:numPr>
          <w:ilvl w:val="0"/>
          <w:numId w:val="35"/>
        </w:numPr>
        <w:jc w:val="center"/>
        <w:rPr>
          <w:b w:val="0"/>
          <w:color w:val="auto"/>
          <w:sz w:val="28"/>
          <w:szCs w:val="28"/>
          <w:highlight w:val="none"/>
        </w:rPr>
      </w:pPr>
      <w:bookmarkStart w:id="202" w:name="_Toc18728"/>
      <w:r>
        <w:rPr>
          <w:rFonts w:hint="eastAsia"/>
          <w:color w:val="auto"/>
          <w:sz w:val="28"/>
          <w:szCs w:val="28"/>
          <w:highlight w:val="none"/>
        </w:rPr>
        <w:t>响应书</w:t>
      </w:r>
      <w:bookmarkEnd w:id="183"/>
      <w:bookmarkEnd w:id="184"/>
      <w:bookmarkEnd w:id="185"/>
      <w:bookmarkEnd w:id="186"/>
      <w:bookmarkEnd w:id="187"/>
      <w:bookmarkEnd w:id="198"/>
      <w:bookmarkEnd w:id="199"/>
      <w:bookmarkEnd w:id="202"/>
    </w:p>
    <w:p>
      <w:pPr>
        <w:pStyle w:val="31"/>
        <w:autoSpaceDE/>
        <w:autoSpaceDN/>
        <w:adjustRightInd/>
        <w:spacing w:line="480" w:lineRule="exact"/>
        <w:ind w:left="6000"/>
        <w:rPr>
          <w:rFonts w:hAnsi="宋体"/>
          <w:color w:val="auto"/>
          <w:sz w:val="24"/>
          <w:highlight w:val="none"/>
        </w:rPr>
      </w:pPr>
    </w:p>
    <w:p>
      <w:pPr>
        <w:pStyle w:val="31"/>
        <w:autoSpaceDE/>
        <w:autoSpaceDN/>
        <w:adjustRightInd/>
        <w:spacing w:line="480" w:lineRule="exact"/>
        <w:ind w:left="0" w:leftChars="0"/>
        <w:rPr>
          <w:rFonts w:hAnsi="宋体"/>
          <w:color w:val="auto"/>
          <w:highlight w:val="none"/>
        </w:rPr>
      </w:pPr>
      <w:r>
        <w:rPr>
          <w:rFonts w:hint="eastAsia" w:hAnsi="宋体"/>
          <w:color w:val="auto"/>
          <w:highlight w:val="none"/>
        </w:rPr>
        <w:t>致：广东泰通伟业工程咨询有限公司</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根据贵方（采购编号：）的采购邀请和磋商文件，供应商承诺如下：</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1.签字代表</w:t>
      </w:r>
      <w:r>
        <w:rPr>
          <w:rFonts w:hint="eastAsia" w:hAnsi="宋体"/>
          <w:color w:val="auto"/>
          <w:sz w:val="21"/>
          <w:szCs w:val="21"/>
          <w:highlight w:val="none"/>
          <w:u w:val="single"/>
        </w:rPr>
        <w:t>（姓名、职务）</w:t>
      </w:r>
      <w:r>
        <w:rPr>
          <w:rFonts w:hint="eastAsia" w:hAnsi="宋体"/>
          <w:color w:val="auto"/>
          <w:sz w:val="21"/>
          <w:szCs w:val="21"/>
          <w:highlight w:val="none"/>
        </w:rPr>
        <w:t>经正式授权并代表供应商</w:t>
      </w:r>
      <w:r>
        <w:rPr>
          <w:rFonts w:hint="eastAsia" w:hAnsi="宋体"/>
          <w:color w:val="auto"/>
          <w:sz w:val="21"/>
          <w:szCs w:val="21"/>
          <w:highlight w:val="none"/>
          <w:u w:val="single"/>
        </w:rPr>
        <w:t>（供应商名称、地址）</w:t>
      </w:r>
      <w:r>
        <w:rPr>
          <w:rFonts w:hint="eastAsia" w:hAnsi="宋体"/>
          <w:color w:val="auto"/>
          <w:sz w:val="21"/>
          <w:szCs w:val="21"/>
          <w:highlight w:val="none"/>
        </w:rPr>
        <w:t>提交响应文件正本份和副本份。</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2.供应商愿意参加响应并在成交后按磋商文件规定履行义务。</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3.供应商已详细审查全部磋商文件，包括澄清或修改文件（如有的话）等全部资料。供应商完全理解磋商文件的内容，不存在对磋商文件不明白和误解。</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4.响应文件中所提交的所有资料均是准确的和真实的，否则，我单位愿意放弃成交的权利和接受采购监督管理部门的处罚。</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5.参加本项目采购活动前3年内，在经营活动中没有重大违法记录。</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6.响应有效期为90个工作日，自开启响应文件之日起算。</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7.同意在成交后按照磋商文件的规定缴纳成交服务费。</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8.如果开启响应文件后，在响应有效期内撤回文件的，我单位愿意承担贵单位由此而产生的损失。</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9.供应商同意提供按照贵方可能要求的有关的一切资料，理解贵单位不一定要接受最低价的响应或收到的任何响应。</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10.与本响应有关的一切正式往来通讯请寄：</w:t>
      </w:r>
    </w:p>
    <w:p>
      <w:pPr>
        <w:spacing w:line="480" w:lineRule="exact"/>
        <w:ind w:firstLine="420" w:firstLineChars="200"/>
        <w:rPr>
          <w:rFonts w:hAnsi="宋体"/>
          <w:color w:val="auto"/>
          <w:sz w:val="21"/>
          <w:szCs w:val="21"/>
          <w:highlight w:val="none"/>
        </w:rPr>
      </w:pP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供应商名称：</w:t>
      </w:r>
      <w:r>
        <w:rPr>
          <w:rFonts w:hint="eastAsia" w:hAnsi="宋体"/>
          <w:color w:val="auto"/>
          <w:sz w:val="21"/>
          <w:szCs w:val="21"/>
          <w:highlight w:val="none"/>
          <w:u w:val="single"/>
        </w:rPr>
        <w:t xml:space="preserve">            （盖公章）                   </w:t>
      </w:r>
    </w:p>
    <w:p>
      <w:pPr>
        <w:spacing w:line="480" w:lineRule="exact"/>
        <w:ind w:firstLine="420" w:firstLineChars="200"/>
        <w:rPr>
          <w:rFonts w:hAnsi="宋体"/>
          <w:color w:val="auto"/>
          <w:sz w:val="21"/>
          <w:szCs w:val="21"/>
          <w:highlight w:val="none"/>
          <w:u w:val="single"/>
        </w:rPr>
      </w:pPr>
      <w:r>
        <w:rPr>
          <w:rFonts w:hint="eastAsia" w:hAnsi="宋体"/>
          <w:color w:val="auto"/>
          <w:sz w:val="21"/>
          <w:szCs w:val="21"/>
          <w:highlight w:val="none"/>
        </w:rPr>
        <w:t>供应商代表姓名、职务（印刷体）：</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供应商联系电话、传真：</w:t>
      </w:r>
    </w:p>
    <w:p>
      <w:pPr>
        <w:spacing w:line="480" w:lineRule="exact"/>
        <w:ind w:firstLine="420" w:firstLineChars="200"/>
        <w:rPr>
          <w:rFonts w:hAnsi="宋体"/>
          <w:color w:val="auto"/>
          <w:sz w:val="21"/>
          <w:szCs w:val="21"/>
          <w:highlight w:val="none"/>
        </w:rPr>
      </w:pPr>
      <w:r>
        <w:rPr>
          <w:rFonts w:hint="eastAsia" w:hAnsi="宋体"/>
          <w:color w:val="auto"/>
          <w:sz w:val="21"/>
          <w:szCs w:val="21"/>
          <w:highlight w:val="none"/>
        </w:rPr>
        <w:t>日期： 年 月  日</w:t>
      </w:r>
    </w:p>
    <w:p>
      <w:pPr>
        <w:pStyle w:val="4"/>
        <w:numPr>
          <w:ilvl w:val="0"/>
          <w:numId w:val="35"/>
        </w:numPr>
        <w:jc w:val="center"/>
        <w:rPr>
          <w:bCs/>
          <w:color w:val="auto"/>
          <w:sz w:val="28"/>
          <w:szCs w:val="28"/>
          <w:highlight w:val="none"/>
        </w:rPr>
      </w:pPr>
      <w:r>
        <w:rPr>
          <w:color w:val="auto"/>
          <w:sz w:val="22"/>
          <w:szCs w:val="22"/>
          <w:highlight w:val="none"/>
        </w:rPr>
        <w:br w:type="page"/>
      </w:r>
      <w:bookmarkStart w:id="203" w:name="_Toc31943"/>
      <w:bookmarkStart w:id="204" w:name="_Toc7897891"/>
      <w:bookmarkStart w:id="205" w:name="_Toc10808"/>
      <w:r>
        <w:rPr>
          <w:rFonts w:hint="eastAsia"/>
          <w:bCs/>
          <w:color w:val="auto"/>
          <w:sz w:val="28"/>
          <w:szCs w:val="28"/>
          <w:highlight w:val="none"/>
        </w:rPr>
        <w:t>法定代表人证明书</w:t>
      </w:r>
      <w:bookmarkEnd w:id="203"/>
      <w:bookmarkEnd w:id="204"/>
      <w:bookmarkEnd w:id="205"/>
    </w:p>
    <w:p>
      <w:pPr>
        <w:jc w:val="center"/>
        <w:rPr>
          <w:rFonts w:hAnsi="宋体"/>
          <w:color w:val="auto"/>
          <w:sz w:val="28"/>
          <w:szCs w:val="28"/>
          <w:highlight w:val="none"/>
        </w:rPr>
      </w:pPr>
    </w:p>
    <w:p>
      <w:pPr>
        <w:rPr>
          <w:rFonts w:hAnsi="宋体"/>
          <w:color w:val="auto"/>
          <w:sz w:val="28"/>
          <w:szCs w:val="28"/>
          <w:highlight w:val="none"/>
        </w:rPr>
      </w:pPr>
    </w:p>
    <w:p>
      <w:pPr>
        <w:spacing w:line="420" w:lineRule="atLeast"/>
        <w:rPr>
          <w:rFonts w:hAnsi="宋体"/>
          <w:color w:val="auto"/>
          <w:sz w:val="21"/>
          <w:szCs w:val="21"/>
          <w:highlight w:val="none"/>
        </w:rPr>
      </w:pPr>
      <w:r>
        <w:rPr>
          <w:rFonts w:hint="eastAsia" w:hAnsi="宋体"/>
          <w:color w:val="auto"/>
          <w:sz w:val="21"/>
          <w:szCs w:val="21"/>
          <w:highlight w:val="none"/>
        </w:rPr>
        <w:t>致：广东泰通伟业工程咨询有限公司</w:t>
      </w:r>
    </w:p>
    <w:p>
      <w:pPr>
        <w:pStyle w:val="75"/>
        <w:spacing w:line="420" w:lineRule="atLeast"/>
        <w:ind w:firstLine="433"/>
        <w:rPr>
          <w:rFonts w:ascii="宋体" w:eastAsia="宋体"/>
          <w:color w:val="auto"/>
          <w:sz w:val="21"/>
          <w:szCs w:val="21"/>
          <w:highlight w:val="none"/>
        </w:rPr>
      </w:pPr>
    </w:p>
    <w:p>
      <w:pPr>
        <w:pStyle w:val="7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 xml:space="preserve">供应商名称: </w:t>
      </w:r>
    </w:p>
    <w:p>
      <w:pPr>
        <w:pStyle w:val="7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单 位 性质：</w:t>
      </w:r>
    </w:p>
    <w:p>
      <w:pPr>
        <w:pStyle w:val="7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地      址：</w:t>
      </w:r>
    </w:p>
    <w:p>
      <w:pPr>
        <w:pStyle w:val="7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7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7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7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系（供应商名称）的法定代表人。</w:t>
      </w:r>
    </w:p>
    <w:p>
      <w:pPr>
        <w:spacing w:line="420" w:lineRule="atLeast"/>
        <w:ind w:firstLine="420" w:firstLineChars="200"/>
        <w:rPr>
          <w:rFonts w:hAnsi="宋体"/>
          <w:color w:val="auto"/>
          <w:sz w:val="21"/>
          <w:szCs w:val="21"/>
          <w:highlight w:val="none"/>
        </w:rPr>
      </w:pPr>
      <w:r>
        <w:rPr>
          <w:rFonts w:hint="eastAsia" w:hAnsi="宋体"/>
          <w:color w:val="auto"/>
          <w:sz w:val="21"/>
          <w:szCs w:val="21"/>
          <w:highlight w:val="none"/>
        </w:rPr>
        <w:t>特此证明。</w:t>
      </w:r>
    </w:p>
    <w:p>
      <w:pPr>
        <w:pStyle w:val="75"/>
        <w:spacing w:line="500" w:lineRule="atLeast"/>
        <w:ind w:firstLine="3517" w:firstLineChars="1675"/>
        <w:rPr>
          <w:rFonts w:ascii="宋体" w:eastAsia="宋体"/>
          <w:color w:val="auto"/>
          <w:sz w:val="21"/>
          <w:szCs w:val="21"/>
          <w:highlight w:val="none"/>
        </w:rPr>
      </w:pPr>
    </w:p>
    <w:p>
      <w:pPr>
        <w:pStyle w:val="75"/>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供应商名称（加盖公章）</w:t>
      </w:r>
    </w:p>
    <w:p>
      <w:pPr>
        <w:pStyle w:val="75"/>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75"/>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75"/>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75"/>
        <w:spacing w:line="460" w:lineRule="exact"/>
        <w:ind w:firstLine="433"/>
        <w:rPr>
          <w:rFonts w:ascii="宋体" w:eastAsia="宋体"/>
          <w:color w:val="auto"/>
          <w:sz w:val="21"/>
          <w:szCs w:val="21"/>
          <w:highlight w:val="none"/>
        </w:rPr>
      </w:pPr>
    </w:p>
    <w:p>
      <w:pPr>
        <w:spacing w:line="420" w:lineRule="atLeast"/>
        <w:ind w:firstLine="422" w:firstLineChars="200"/>
        <w:rPr>
          <w:rFonts w:hAnsi="宋体"/>
          <w:b/>
          <w:color w:val="auto"/>
          <w:sz w:val="21"/>
          <w:szCs w:val="21"/>
          <w:highlight w:val="none"/>
        </w:rPr>
      </w:pPr>
    </w:p>
    <w:p>
      <w:pPr>
        <w:spacing w:line="420" w:lineRule="atLeast"/>
        <w:ind w:firstLine="422" w:firstLineChars="200"/>
        <w:rPr>
          <w:rFonts w:hAnsi="宋体"/>
          <w:b/>
          <w:color w:val="auto"/>
          <w:sz w:val="21"/>
          <w:szCs w:val="21"/>
          <w:highlight w:val="none"/>
        </w:rPr>
      </w:pPr>
      <w:r>
        <w:rPr>
          <w:rFonts w:hint="eastAsia" w:hAnsi="宋体"/>
          <w:b/>
          <w:color w:val="auto"/>
          <w:sz w:val="21"/>
          <w:szCs w:val="21"/>
          <w:highlight w:val="none"/>
        </w:rPr>
        <w:t>须附：法定代表人身份证复印件（加盖公章）</w:t>
      </w:r>
    </w:p>
    <w:p>
      <w:pPr>
        <w:spacing w:line="420" w:lineRule="atLeast"/>
        <w:ind w:firstLine="422" w:firstLineChars="200"/>
        <w:rPr>
          <w:b/>
          <w:color w:val="auto"/>
          <w:sz w:val="21"/>
          <w:szCs w:val="21"/>
          <w:highlight w:val="none"/>
        </w:rPr>
      </w:pPr>
    </w:p>
    <w:tbl>
      <w:tblPr>
        <w:tblStyle w:val="53"/>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75"/>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正面</w:t>
            </w:r>
          </w:p>
        </w:tc>
        <w:tc>
          <w:tcPr>
            <w:tcW w:w="4182" w:type="dxa"/>
            <w:vAlign w:val="center"/>
          </w:tcPr>
          <w:p>
            <w:pPr>
              <w:pStyle w:val="75"/>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背面</w:t>
            </w:r>
          </w:p>
        </w:tc>
      </w:tr>
    </w:tbl>
    <w:p>
      <w:pPr>
        <w:rPr>
          <w:rFonts w:hAnsi="宋体"/>
          <w:color w:val="auto"/>
          <w:highlight w:val="none"/>
        </w:rPr>
      </w:pPr>
    </w:p>
    <w:p>
      <w:pPr>
        <w:rPr>
          <w:rFonts w:hAnsi="宋体"/>
          <w:color w:val="auto"/>
          <w:sz w:val="28"/>
          <w:szCs w:val="28"/>
          <w:highlight w:val="none"/>
        </w:rPr>
      </w:pPr>
    </w:p>
    <w:p>
      <w:pPr>
        <w:pStyle w:val="4"/>
        <w:numPr>
          <w:ilvl w:val="0"/>
          <w:numId w:val="35"/>
        </w:numPr>
        <w:jc w:val="center"/>
        <w:rPr>
          <w:bCs/>
          <w:color w:val="auto"/>
          <w:sz w:val="28"/>
          <w:szCs w:val="28"/>
          <w:highlight w:val="none"/>
        </w:rPr>
      </w:pPr>
      <w:r>
        <w:rPr>
          <w:rFonts w:hint="eastAsia"/>
          <w:bCs/>
          <w:color w:val="auto"/>
          <w:sz w:val="28"/>
          <w:szCs w:val="28"/>
          <w:highlight w:val="none"/>
        </w:rPr>
        <w:br w:type="page"/>
      </w:r>
      <w:bookmarkStart w:id="206" w:name="_Toc19634"/>
      <w:bookmarkStart w:id="207" w:name="_Toc7897892"/>
      <w:bookmarkStart w:id="208" w:name="_Toc28882"/>
      <w:r>
        <w:rPr>
          <w:rFonts w:hint="eastAsia"/>
          <w:bCs/>
          <w:color w:val="auto"/>
          <w:sz w:val="28"/>
          <w:szCs w:val="28"/>
          <w:highlight w:val="none"/>
        </w:rPr>
        <w:t>授权委托书（加法人证明书）</w:t>
      </w:r>
      <w:bookmarkEnd w:id="206"/>
      <w:bookmarkEnd w:id="207"/>
      <w:bookmarkEnd w:id="208"/>
    </w:p>
    <w:p>
      <w:pPr>
        <w:pStyle w:val="13"/>
        <w:ind w:firstLine="400"/>
        <w:rPr>
          <w:color w:val="auto"/>
          <w:highlight w:val="none"/>
        </w:rPr>
      </w:pPr>
    </w:p>
    <w:p>
      <w:pPr>
        <w:spacing w:line="420" w:lineRule="exact"/>
        <w:rPr>
          <w:rFonts w:hAnsi="宋体"/>
          <w:color w:val="auto"/>
          <w:sz w:val="22"/>
          <w:szCs w:val="22"/>
          <w:highlight w:val="none"/>
        </w:rPr>
      </w:pPr>
    </w:p>
    <w:p>
      <w:pPr>
        <w:spacing w:line="420" w:lineRule="exact"/>
        <w:rPr>
          <w:rFonts w:hAnsi="宋体"/>
          <w:color w:val="auto"/>
          <w:sz w:val="21"/>
          <w:szCs w:val="21"/>
          <w:highlight w:val="none"/>
        </w:rPr>
      </w:pPr>
      <w:r>
        <w:rPr>
          <w:rFonts w:hint="eastAsia" w:hAnsi="宋体"/>
          <w:color w:val="auto"/>
          <w:sz w:val="21"/>
          <w:szCs w:val="21"/>
          <w:highlight w:val="none"/>
        </w:rPr>
        <w:t>致：广东泰通伟业工程咨询有限公司</w:t>
      </w:r>
    </w:p>
    <w:p>
      <w:pPr>
        <w:pStyle w:val="75"/>
        <w:spacing w:line="420" w:lineRule="exact"/>
        <w:ind w:firstLine="450" w:firstLineChars="0"/>
        <w:rPr>
          <w:rFonts w:ascii="宋体" w:eastAsia="宋体"/>
          <w:color w:val="auto"/>
          <w:sz w:val="21"/>
          <w:szCs w:val="21"/>
          <w:highlight w:val="none"/>
        </w:rPr>
      </w:pPr>
      <w:r>
        <w:rPr>
          <w:rFonts w:hint="eastAsia" w:ascii="宋体" w:eastAsia="宋体"/>
          <w:color w:val="auto"/>
          <w:sz w:val="21"/>
          <w:szCs w:val="21"/>
          <w:highlight w:val="none"/>
        </w:rPr>
        <w:t>本人</w:t>
      </w:r>
      <w:r>
        <w:rPr>
          <w:rFonts w:hint="eastAsia" w:ascii="宋体" w:eastAsia="宋体"/>
          <w:color w:val="auto"/>
          <w:sz w:val="21"/>
          <w:szCs w:val="21"/>
          <w:highlight w:val="none"/>
          <w:u w:val="single"/>
        </w:rPr>
        <w:t xml:space="preserve">  （姓名） </w:t>
      </w:r>
      <w:r>
        <w:rPr>
          <w:rFonts w:hint="eastAsia" w:ascii="宋体" w:eastAsia="宋体"/>
          <w:color w:val="auto"/>
          <w:sz w:val="21"/>
          <w:szCs w:val="21"/>
          <w:highlight w:val="none"/>
        </w:rPr>
        <w:t>系</w:t>
      </w:r>
      <w:r>
        <w:rPr>
          <w:rFonts w:hint="eastAsia" w:ascii="宋体" w:eastAsia="宋体"/>
          <w:color w:val="auto"/>
          <w:sz w:val="21"/>
          <w:szCs w:val="21"/>
          <w:highlight w:val="none"/>
          <w:u w:val="single"/>
        </w:rPr>
        <w:t xml:space="preserve">     （供应商名称）        </w:t>
      </w:r>
      <w:r>
        <w:rPr>
          <w:rFonts w:hint="eastAsia" w:ascii="宋体" w:eastAsia="宋体"/>
          <w:color w:val="auto"/>
          <w:sz w:val="21"/>
          <w:szCs w:val="21"/>
          <w:highlight w:val="none"/>
        </w:rPr>
        <w:t>的法定代表人，现委托</w:t>
      </w:r>
      <w:r>
        <w:rPr>
          <w:rFonts w:hint="eastAsia" w:ascii="宋体" w:eastAsia="宋体"/>
          <w:color w:val="auto"/>
          <w:sz w:val="21"/>
          <w:szCs w:val="21"/>
          <w:highlight w:val="none"/>
          <w:u w:val="single"/>
        </w:rPr>
        <w:t xml:space="preserve"> （姓名） </w:t>
      </w:r>
      <w:r>
        <w:rPr>
          <w:rFonts w:hint="eastAsia" w:ascii="宋体" w:eastAsia="宋体"/>
          <w:color w:val="auto"/>
          <w:sz w:val="21"/>
          <w:szCs w:val="21"/>
          <w:highlight w:val="none"/>
        </w:rPr>
        <w:t>为我方合法代理人。代理人根据授权，以我方名义签署、澄清、说明、补正、递交、撤回、修改</w:t>
      </w:r>
      <w:r>
        <w:rPr>
          <w:rFonts w:hint="eastAsia" w:ascii="宋体" w:eastAsia="宋体"/>
          <w:color w:val="auto"/>
          <w:sz w:val="21"/>
          <w:szCs w:val="21"/>
          <w:highlight w:val="none"/>
          <w:u w:val="single"/>
        </w:rPr>
        <w:t xml:space="preserve">        （项目名称）        </w:t>
      </w:r>
      <w:r>
        <w:rPr>
          <w:rFonts w:hint="eastAsia" w:ascii="宋体" w:eastAsia="宋体"/>
          <w:color w:val="auto"/>
          <w:sz w:val="21"/>
          <w:szCs w:val="21"/>
          <w:highlight w:val="none"/>
        </w:rPr>
        <w:t>[采购编号：</w:t>
      </w:r>
      <w:r>
        <w:rPr>
          <w:rFonts w:hint="eastAsia" w:ascii="宋体" w:eastAsia="宋体"/>
          <w:color w:val="auto"/>
          <w:sz w:val="21"/>
          <w:szCs w:val="21"/>
          <w:highlight w:val="none"/>
          <w:u w:val="single"/>
        </w:rPr>
        <w:t>　　　　　　　</w:t>
      </w:r>
      <w:r>
        <w:rPr>
          <w:rFonts w:hint="eastAsia" w:ascii="宋体" w:eastAsia="宋体"/>
          <w:color w:val="auto"/>
          <w:sz w:val="21"/>
          <w:szCs w:val="21"/>
          <w:highlight w:val="none"/>
        </w:rPr>
        <w:t>]磋商响应文件、签订合同和处理有关事宜，其法律后果由我方承担。</w:t>
      </w:r>
    </w:p>
    <w:p>
      <w:pPr>
        <w:pStyle w:val="75"/>
        <w:spacing w:line="420" w:lineRule="exact"/>
        <w:ind w:firstLine="428" w:firstLineChars="204"/>
        <w:rPr>
          <w:rFonts w:ascii="宋体" w:eastAsia="宋体"/>
          <w:color w:val="auto"/>
          <w:sz w:val="21"/>
          <w:szCs w:val="21"/>
          <w:highlight w:val="none"/>
        </w:rPr>
      </w:pPr>
      <w:r>
        <w:rPr>
          <w:rFonts w:hint="eastAsia" w:ascii="宋体" w:eastAsia="宋体"/>
          <w:color w:val="auto"/>
          <w:sz w:val="21"/>
          <w:szCs w:val="21"/>
          <w:highlight w:val="none"/>
        </w:rPr>
        <w:t>本委托书于</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日签字生效，特此证明。</w:t>
      </w:r>
    </w:p>
    <w:p>
      <w:pPr>
        <w:pStyle w:val="75"/>
        <w:spacing w:line="420" w:lineRule="exact"/>
        <w:ind w:firstLine="450" w:firstLineChars="0"/>
        <w:rPr>
          <w:rFonts w:ascii="宋体" w:eastAsia="宋体"/>
          <w:color w:val="auto"/>
          <w:sz w:val="21"/>
          <w:szCs w:val="21"/>
          <w:highlight w:val="none"/>
        </w:rPr>
      </w:pPr>
      <w:r>
        <w:rPr>
          <w:rFonts w:hint="eastAsia" w:ascii="宋体" w:eastAsia="宋体"/>
          <w:color w:val="auto"/>
          <w:sz w:val="21"/>
          <w:szCs w:val="21"/>
          <w:highlight w:val="none"/>
        </w:rPr>
        <w:t>代理人无转委托权</w:t>
      </w:r>
    </w:p>
    <w:p>
      <w:pPr>
        <w:pStyle w:val="75"/>
        <w:spacing w:line="420" w:lineRule="exact"/>
        <w:ind w:firstLine="450" w:firstLineChars="0"/>
        <w:rPr>
          <w:rFonts w:ascii="宋体" w:eastAsia="宋体"/>
          <w:color w:val="auto"/>
          <w:sz w:val="21"/>
          <w:szCs w:val="21"/>
          <w:highlight w:val="none"/>
        </w:rPr>
      </w:pPr>
    </w:p>
    <w:p>
      <w:pPr>
        <w:pStyle w:val="75"/>
        <w:spacing w:line="420" w:lineRule="exact"/>
        <w:ind w:firstLine="428" w:firstLineChars="204"/>
        <w:rPr>
          <w:rFonts w:ascii="宋体" w:eastAsia="宋体"/>
          <w:color w:val="auto"/>
          <w:sz w:val="21"/>
          <w:szCs w:val="21"/>
          <w:highlight w:val="none"/>
        </w:rPr>
      </w:pPr>
    </w:p>
    <w:p>
      <w:pPr>
        <w:pStyle w:val="75"/>
        <w:spacing w:line="420" w:lineRule="exac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供应商名称（加盖公章）</w:t>
      </w:r>
    </w:p>
    <w:p>
      <w:pPr>
        <w:pStyle w:val="75"/>
        <w:spacing w:line="420" w:lineRule="exac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75"/>
        <w:spacing w:line="420" w:lineRule="exac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身份证号码：</w:t>
      </w:r>
    </w:p>
    <w:p>
      <w:pPr>
        <w:pStyle w:val="75"/>
        <w:spacing w:line="420" w:lineRule="exact"/>
        <w:ind w:firstLine="3517" w:firstLineChars="1675"/>
        <w:rPr>
          <w:rFonts w:ascii="宋体" w:eastAsia="宋体"/>
          <w:color w:val="auto"/>
          <w:sz w:val="21"/>
          <w:szCs w:val="21"/>
          <w:highlight w:val="none"/>
        </w:rPr>
      </w:pPr>
    </w:p>
    <w:p>
      <w:pPr>
        <w:pStyle w:val="75"/>
        <w:spacing w:line="420" w:lineRule="exac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受托代理人（签名或盖私章）：</w:t>
      </w:r>
    </w:p>
    <w:p>
      <w:pPr>
        <w:pStyle w:val="75"/>
        <w:spacing w:line="420" w:lineRule="exac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75"/>
        <w:spacing w:line="460" w:lineRule="exac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spacing w:line="420" w:lineRule="atLeast"/>
        <w:ind w:firstLine="422" w:firstLineChars="200"/>
        <w:rPr>
          <w:rFonts w:hAnsi="宋体"/>
          <w:b/>
          <w:color w:val="auto"/>
          <w:sz w:val="21"/>
          <w:szCs w:val="21"/>
          <w:highlight w:val="none"/>
        </w:rPr>
      </w:pPr>
    </w:p>
    <w:p>
      <w:pPr>
        <w:spacing w:line="420" w:lineRule="atLeast"/>
        <w:ind w:firstLine="422" w:firstLineChars="200"/>
        <w:rPr>
          <w:rFonts w:hAnsi="宋体"/>
          <w:b/>
          <w:color w:val="auto"/>
          <w:sz w:val="21"/>
          <w:szCs w:val="21"/>
          <w:highlight w:val="none"/>
        </w:rPr>
      </w:pPr>
    </w:p>
    <w:p>
      <w:pPr>
        <w:spacing w:line="420" w:lineRule="atLeast"/>
        <w:ind w:firstLine="422" w:firstLineChars="200"/>
        <w:rPr>
          <w:rFonts w:hAnsi="宋体"/>
          <w:b/>
          <w:color w:val="auto"/>
          <w:sz w:val="21"/>
          <w:szCs w:val="21"/>
          <w:highlight w:val="none"/>
        </w:rPr>
      </w:pPr>
      <w:r>
        <w:rPr>
          <w:rFonts w:hint="eastAsia" w:hAnsi="宋体"/>
          <w:b/>
          <w:color w:val="auto"/>
          <w:sz w:val="21"/>
          <w:szCs w:val="21"/>
          <w:highlight w:val="none"/>
        </w:rPr>
        <w:t>须附：授权代理人身份证复印件（加盖公章）</w:t>
      </w:r>
    </w:p>
    <w:p>
      <w:pPr>
        <w:spacing w:line="420" w:lineRule="atLeast"/>
        <w:ind w:firstLine="420" w:firstLineChars="200"/>
        <w:rPr>
          <w:color w:val="auto"/>
          <w:sz w:val="21"/>
          <w:szCs w:val="21"/>
          <w:highlight w:val="none"/>
        </w:rPr>
      </w:pPr>
    </w:p>
    <w:tbl>
      <w:tblPr>
        <w:tblStyle w:val="53"/>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75"/>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正面</w:t>
            </w:r>
          </w:p>
        </w:tc>
        <w:tc>
          <w:tcPr>
            <w:tcW w:w="4232" w:type="dxa"/>
            <w:vAlign w:val="center"/>
          </w:tcPr>
          <w:p>
            <w:pPr>
              <w:pStyle w:val="75"/>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背面</w:t>
            </w:r>
          </w:p>
        </w:tc>
      </w:tr>
    </w:tbl>
    <w:p>
      <w:pPr>
        <w:pStyle w:val="13"/>
        <w:ind w:firstLine="482"/>
        <w:rPr>
          <w:b/>
          <w:color w:val="auto"/>
          <w:sz w:val="24"/>
          <w:szCs w:val="24"/>
          <w:highlight w:val="none"/>
        </w:rPr>
      </w:pPr>
    </w:p>
    <w:p>
      <w:pPr>
        <w:tabs>
          <w:tab w:val="left" w:pos="7740"/>
        </w:tabs>
        <w:spacing w:line="360" w:lineRule="auto"/>
        <w:rPr>
          <w:rFonts w:hAnsi="宋体"/>
          <w:color w:val="auto"/>
          <w:sz w:val="21"/>
          <w:szCs w:val="21"/>
          <w:highlight w:val="none"/>
        </w:rPr>
      </w:pPr>
      <w:bookmarkStart w:id="209" w:name="_Toc7897893"/>
      <w:bookmarkStart w:id="210" w:name="_Toc4592"/>
    </w:p>
    <w:p>
      <w:pPr>
        <w:pStyle w:val="13"/>
        <w:ind w:firstLine="0" w:firstLineChars="0"/>
        <w:rPr>
          <w:color w:val="auto"/>
          <w:highlight w:val="none"/>
        </w:rPr>
      </w:pPr>
    </w:p>
    <w:p>
      <w:pPr>
        <w:pStyle w:val="13"/>
        <w:ind w:firstLine="0" w:firstLineChars="0"/>
        <w:rPr>
          <w:color w:val="auto"/>
          <w:highlight w:val="none"/>
        </w:rPr>
      </w:pPr>
    </w:p>
    <w:p>
      <w:pPr>
        <w:pStyle w:val="13"/>
        <w:ind w:firstLine="0" w:firstLineChars="0"/>
        <w:rPr>
          <w:color w:val="auto"/>
          <w:highlight w:val="none"/>
        </w:rPr>
      </w:pPr>
    </w:p>
    <w:p>
      <w:pPr>
        <w:pStyle w:val="4"/>
        <w:numPr>
          <w:ilvl w:val="0"/>
          <w:numId w:val="35"/>
        </w:numPr>
        <w:jc w:val="center"/>
        <w:rPr>
          <w:color w:val="auto"/>
          <w:sz w:val="28"/>
          <w:szCs w:val="28"/>
          <w:highlight w:val="none"/>
        </w:rPr>
      </w:pPr>
      <w:bookmarkStart w:id="211" w:name="_Toc17363"/>
      <w:r>
        <w:rPr>
          <w:rFonts w:hint="eastAsia"/>
          <w:color w:val="auto"/>
          <w:sz w:val="28"/>
          <w:szCs w:val="28"/>
          <w:highlight w:val="none"/>
        </w:rPr>
        <w:t>供应商基本情况说明</w:t>
      </w:r>
      <w:bookmarkEnd w:id="209"/>
      <w:bookmarkEnd w:id="210"/>
      <w:bookmarkEnd w:id="211"/>
    </w:p>
    <w:p>
      <w:pPr>
        <w:spacing w:line="360" w:lineRule="auto"/>
        <w:rPr>
          <w:rFonts w:hAnsi="宋体"/>
          <w:color w:val="auto"/>
          <w:sz w:val="22"/>
          <w:szCs w:val="22"/>
          <w:highlight w:val="none"/>
        </w:rPr>
      </w:pPr>
    </w:p>
    <w:p>
      <w:pPr>
        <w:spacing w:line="360" w:lineRule="auto"/>
        <w:rPr>
          <w:rFonts w:hAnsi="宋体"/>
          <w:color w:val="auto"/>
          <w:sz w:val="21"/>
          <w:szCs w:val="21"/>
          <w:highlight w:val="none"/>
        </w:rPr>
      </w:pPr>
      <w:r>
        <w:rPr>
          <w:rFonts w:hint="eastAsia" w:hAnsi="宋体"/>
          <w:color w:val="auto"/>
          <w:sz w:val="21"/>
          <w:szCs w:val="21"/>
          <w:highlight w:val="none"/>
        </w:rPr>
        <w:t>一、</w:t>
      </w:r>
      <w:r>
        <w:rPr>
          <w:rFonts w:hAnsi="宋体"/>
          <w:color w:val="auto"/>
          <w:sz w:val="21"/>
          <w:szCs w:val="21"/>
          <w:highlight w:val="none"/>
        </w:rPr>
        <w:t>公司基本情况</w:t>
      </w:r>
    </w:p>
    <w:p>
      <w:pPr>
        <w:tabs>
          <w:tab w:val="left" w:pos="4678"/>
        </w:tabs>
        <w:spacing w:line="360" w:lineRule="auto"/>
        <w:rPr>
          <w:rFonts w:hAnsi="宋体"/>
          <w:color w:val="auto"/>
          <w:sz w:val="21"/>
          <w:szCs w:val="21"/>
          <w:highlight w:val="none"/>
        </w:rPr>
      </w:pPr>
      <w:r>
        <w:rPr>
          <w:rFonts w:hAnsi="宋体"/>
          <w:color w:val="auto"/>
          <w:sz w:val="21"/>
          <w:szCs w:val="21"/>
          <w:highlight w:val="none"/>
        </w:rPr>
        <w:t>1、公司名称： 电话号码：</w:t>
      </w:r>
    </w:p>
    <w:p>
      <w:pPr>
        <w:spacing w:line="360" w:lineRule="auto"/>
        <w:rPr>
          <w:rFonts w:hAnsi="宋体"/>
          <w:color w:val="auto"/>
          <w:sz w:val="21"/>
          <w:szCs w:val="21"/>
          <w:highlight w:val="none"/>
        </w:rPr>
      </w:pPr>
      <w:r>
        <w:rPr>
          <w:rFonts w:hAnsi="宋体"/>
          <w:color w:val="auto"/>
          <w:sz w:val="21"/>
          <w:szCs w:val="21"/>
          <w:highlight w:val="none"/>
        </w:rPr>
        <w:t>2、地  址： 传  真：</w:t>
      </w:r>
    </w:p>
    <w:p>
      <w:pPr>
        <w:spacing w:line="360" w:lineRule="auto"/>
        <w:rPr>
          <w:rFonts w:hAnsi="宋体"/>
          <w:color w:val="auto"/>
          <w:sz w:val="21"/>
          <w:szCs w:val="21"/>
          <w:highlight w:val="none"/>
          <w:u w:val="single"/>
        </w:rPr>
      </w:pPr>
      <w:r>
        <w:rPr>
          <w:rFonts w:hAnsi="宋体"/>
          <w:color w:val="auto"/>
          <w:sz w:val="21"/>
          <w:szCs w:val="21"/>
          <w:highlight w:val="none"/>
        </w:rPr>
        <w:t>3、注册资金： 经济性质：</w:t>
      </w:r>
    </w:p>
    <w:p>
      <w:pPr>
        <w:spacing w:line="360" w:lineRule="auto"/>
        <w:rPr>
          <w:rFonts w:hAnsi="宋体"/>
          <w:color w:val="auto"/>
          <w:sz w:val="21"/>
          <w:szCs w:val="21"/>
          <w:highlight w:val="none"/>
        </w:rPr>
      </w:pPr>
      <w:r>
        <w:rPr>
          <w:rFonts w:hAnsi="宋体"/>
          <w:color w:val="auto"/>
          <w:sz w:val="21"/>
          <w:szCs w:val="21"/>
          <w:highlight w:val="none"/>
        </w:rPr>
        <w:t xml:space="preserve">4、公司开户银行名称及账号：      </w:t>
      </w:r>
    </w:p>
    <w:p>
      <w:pPr>
        <w:spacing w:line="360" w:lineRule="auto"/>
        <w:rPr>
          <w:rFonts w:hAnsi="宋体"/>
          <w:color w:val="auto"/>
          <w:sz w:val="21"/>
          <w:szCs w:val="21"/>
          <w:highlight w:val="none"/>
        </w:rPr>
      </w:pPr>
      <w:r>
        <w:rPr>
          <w:rFonts w:hAnsi="宋体"/>
          <w:color w:val="auto"/>
          <w:sz w:val="21"/>
          <w:szCs w:val="21"/>
          <w:highlight w:val="none"/>
        </w:rPr>
        <w:t xml:space="preserve">5、营业注册执照号：  </w:t>
      </w:r>
    </w:p>
    <w:p>
      <w:pPr>
        <w:spacing w:line="360" w:lineRule="auto"/>
        <w:rPr>
          <w:rFonts w:hAnsi="宋体"/>
          <w:color w:val="auto"/>
          <w:sz w:val="21"/>
          <w:szCs w:val="21"/>
          <w:highlight w:val="none"/>
        </w:rPr>
      </w:pPr>
      <w:r>
        <w:rPr>
          <w:rFonts w:hAnsi="宋体"/>
          <w:color w:val="auto"/>
          <w:sz w:val="21"/>
          <w:szCs w:val="21"/>
          <w:highlight w:val="none"/>
        </w:rPr>
        <w:t>6、公司简介:</w:t>
      </w:r>
    </w:p>
    <w:p>
      <w:pPr>
        <w:spacing w:line="360" w:lineRule="auto"/>
        <w:rPr>
          <w:rFonts w:hAnsi="宋体"/>
          <w:color w:val="auto"/>
          <w:sz w:val="21"/>
          <w:szCs w:val="21"/>
          <w:highlight w:val="none"/>
        </w:rPr>
      </w:pPr>
      <w:r>
        <w:rPr>
          <w:rFonts w:hAnsi="宋体"/>
          <w:color w:val="auto"/>
          <w:sz w:val="21"/>
          <w:szCs w:val="21"/>
          <w:highlight w:val="none"/>
        </w:rPr>
        <w:t>7、公司财务情况：</w:t>
      </w:r>
    </w:p>
    <w:p>
      <w:pPr>
        <w:spacing w:line="360" w:lineRule="auto"/>
        <w:jc w:val="right"/>
        <w:rPr>
          <w:rFonts w:hAnsi="宋体"/>
          <w:color w:val="auto"/>
          <w:sz w:val="21"/>
          <w:szCs w:val="21"/>
          <w:highlight w:val="none"/>
        </w:rPr>
      </w:pPr>
      <w:r>
        <w:rPr>
          <w:rFonts w:hint="eastAsia" w:hAnsi="宋体"/>
          <w:color w:val="auto"/>
          <w:sz w:val="21"/>
          <w:szCs w:val="21"/>
          <w:highlight w:val="none"/>
        </w:rPr>
        <w:t>【价格单位：（人民币）元】</w:t>
      </w:r>
    </w:p>
    <w:tbl>
      <w:tblPr>
        <w:tblStyle w:val="53"/>
        <w:tblW w:w="8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9"/>
        <w:gridCol w:w="1809"/>
        <w:gridCol w:w="1809"/>
        <w:gridCol w:w="1839"/>
        <w:gridCol w:w="1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629" w:type="dxa"/>
            <w:vAlign w:val="center"/>
          </w:tcPr>
          <w:p>
            <w:pPr>
              <w:jc w:val="center"/>
              <w:rPr>
                <w:rFonts w:hAnsi="宋体"/>
                <w:color w:val="auto"/>
                <w:sz w:val="21"/>
                <w:szCs w:val="21"/>
                <w:highlight w:val="none"/>
              </w:rPr>
            </w:pPr>
            <w:r>
              <w:rPr>
                <w:rFonts w:hint="eastAsia" w:hAnsi="宋体"/>
                <w:color w:val="auto"/>
                <w:sz w:val="21"/>
                <w:szCs w:val="21"/>
                <w:highlight w:val="none"/>
              </w:rPr>
              <w:t>年  度</w:t>
            </w:r>
          </w:p>
        </w:tc>
        <w:tc>
          <w:tcPr>
            <w:tcW w:w="1809" w:type="dxa"/>
            <w:vAlign w:val="center"/>
          </w:tcPr>
          <w:p>
            <w:pPr>
              <w:jc w:val="center"/>
              <w:rPr>
                <w:rFonts w:hAnsi="宋体"/>
                <w:color w:val="auto"/>
                <w:sz w:val="21"/>
                <w:szCs w:val="21"/>
                <w:highlight w:val="none"/>
              </w:rPr>
            </w:pPr>
            <w:r>
              <w:rPr>
                <w:rFonts w:hint="eastAsia" w:hAnsi="宋体"/>
                <w:color w:val="auto"/>
                <w:sz w:val="21"/>
                <w:szCs w:val="21"/>
                <w:highlight w:val="none"/>
              </w:rPr>
              <w:t>总资产（元）</w:t>
            </w:r>
          </w:p>
        </w:tc>
        <w:tc>
          <w:tcPr>
            <w:tcW w:w="1809" w:type="dxa"/>
            <w:vAlign w:val="center"/>
          </w:tcPr>
          <w:p>
            <w:pPr>
              <w:jc w:val="center"/>
              <w:rPr>
                <w:rFonts w:hAnsi="宋体"/>
                <w:color w:val="auto"/>
                <w:sz w:val="21"/>
                <w:szCs w:val="21"/>
                <w:highlight w:val="none"/>
              </w:rPr>
            </w:pPr>
            <w:r>
              <w:rPr>
                <w:rFonts w:hint="eastAsia" w:hAnsi="宋体"/>
                <w:color w:val="auto"/>
                <w:sz w:val="21"/>
                <w:szCs w:val="21"/>
                <w:highlight w:val="none"/>
              </w:rPr>
              <w:t>资产负债率（%）</w:t>
            </w:r>
          </w:p>
        </w:tc>
        <w:tc>
          <w:tcPr>
            <w:tcW w:w="1839" w:type="dxa"/>
            <w:vAlign w:val="center"/>
          </w:tcPr>
          <w:p>
            <w:pPr>
              <w:jc w:val="center"/>
              <w:rPr>
                <w:rFonts w:hAnsi="宋体"/>
                <w:color w:val="auto"/>
                <w:sz w:val="21"/>
                <w:szCs w:val="21"/>
                <w:highlight w:val="none"/>
              </w:rPr>
            </w:pPr>
            <w:r>
              <w:rPr>
                <w:rFonts w:hint="eastAsia" w:hAnsi="宋体"/>
                <w:color w:val="auto"/>
                <w:sz w:val="21"/>
                <w:szCs w:val="21"/>
                <w:highlight w:val="none"/>
              </w:rPr>
              <w:t>年营业额（元）</w:t>
            </w:r>
          </w:p>
        </w:tc>
        <w:tc>
          <w:tcPr>
            <w:tcW w:w="1851" w:type="dxa"/>
            <w:vAlign w:val="center"/>
          </w:tcPr>
          <w:p>
            <w:pPr>
              <w:jc w:val="center"/>
              <w:rPr>
                <w:rFonts w:hAnsi="宋体"/>
                <w:color w:val="auto"/>
                <w:sz w:val="21"/>
                <w:szCs w:val="21"/>
                <w:highlight w:val="none"/>
              </w:rPr>
            </w:pPr>
            <w:r>
              <w:rPr>
                <w:rFonts w:hint="eastAsia" w:hAnsi="宋体"/>
                <w:color w:val="auto"/>
                <w:sz w:val="21"/>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629" w:type="dxa"/>
            <w:vAlign w:val="center"/>
          </w:tcPr>
          <w:p>
            <w:pPr>
              <w:spacing w:line="360" w:lineRule="auto"/>
              <w:jc w:val="center"/>
              <w:rPr>
                <w:rFonts w:hAnsi="宋体"/>
                <w:color w:val="auto"/>
                <w:sz w:val="21"/>
                <w:szCs w:val="21"/>
                <w:highlight w:val="none"/>
              </w:rPr>
            </w:pPr>
          </w:p>
        </w:tc>
        <w:tc>
          <w:tcPr>
            <w:tcW w:w="1809" w:type="dxa"/>
            <w:vAlign w:val="center"/>
          </w:tcPr>
          <w:p>
            <w:pPr>
              <w:spacing w:line="360" w:lineRule="auto"/>
              <w:jc w:val="center"/>
              <w:rPr>
                <w:rFonts w:hAnsi="宋体"/>
                <w:color w:val="auto"/>
                <w:sz w:val="21"/>
                <w:szCs w:val="21"/>
                <w:highlight w:val="none"/>
              </w:rPr>
            </w:pPr>
          </w:p>
        </w:tc>
        <w:tc>
          <w:tcPr>
            <w:tcW w:w="1809" w:type="dxa"/>
            <w:vAlign w:val="center"/>
          </w:tcPr>
          <w:p>
            <w:pPr>
              <w:spacing w:line="360" w:lineRule="auto"/>
              <w:jc w:val="center"/>
              <w:rPr>
                <w:rFonts w:hAnsi="宋体"/>
                <w:color w:val="auto"/>
                <w:sz w:val="21"/>
                <w:szCs w:val="21"/>
                <w:highlight w:val="none"/>
              </w:rPr>
            </w:pPr>
          </w:p>
        </w:tc>
        <w:tc>
          <w:tcPr>
            <w:tcW w:w="1839" w:type="dxa"/>
            <w:vAlign w:val="center"/>
          </w:tcPr>
          <w:p>
            <w:pPr>
              <w:spacing w:line="360" w:lineRule="auto"/>
              <w:jc w:val="center"/>
              <w:rPr>
                <w:rFonts w:hAnsi="宋体"/>
                <w:color w:val="auto"/>
                <w:sz w:val="21"/>
                <w:szCs w:val="21"/>
                <w:highlight w:val="none"/>
              </w:rPr>
            </w:pPr>
          </w:p>
        </w:tc>
        <w:tc>
          <w:tcPr>
            <w:tcW w:w="1851" w:type="dxa"/>
            <w:vAlign w:val="center"/>
          </w:tcPr>
          <w:p>
            <w:pPr>
              <w:spacing w:line="360" w:lineRule="auto"/>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629" w:type="dxa"/>
            <w:vAlign w:val="center"/>
          </w:tcPr>
          <w:p>
            <w:pPr>
              <w:spacing w:line="360" w:lineRule="auto"/>
              <w:jc w:val="center"/>
              <w:rPr>
                <w:rFonts w:hAnsi="宋体"/>
                <w:color w:val="auto"/>
                <w:sz w:val="21"/>
                <w:szCs w:val="21"/>
                <w:highlight w:val="none"/>
              </w:rPr>
            </w:pPr>
          </w:p>
        </w:tc>
        <w:tc>
          <w:tcPr>
            <w:tcW w:w="1809" w:type="dxa"/>
            <w:vAlign w:val="center"/>
          </w:tcPr>
          <w:p>
            <w:pPr>
              <w:spacing w:line="360" w:lineRule="auto"/>
              <w:jc w:val="center"/>
              <w:rPr>
                <w:rFonts w:hAnsi="宋体"/>
                <w:color w:val="auto"/>
                <w:sz w:val="21"/>
                <w:szCs w:val="21"/>
                <w:highlight w:val="none"/>
              </w:rPr>
            </w:pPr>
          </w:p>
        </w:tc>
        <w:tc>
          <w:tcPr>
            <w:tcW w:w="1809" w:type="dxa"/>
            <w:vAlign w:val="center"/>
          </w:tcPr>
          <w:p>
            <w:pPr>
              <w:spacing w:line="360" w:lineRule="auto"/>
              <w:jc w:val="center"/>
              <w:rPr>
                <w:rFonts w:hAnsi="宋体"/>
                <w:color w:val="auto"/>
                <w:sz w:val="21"/>
                <w:szCs w:val="21"/>
                <w:highlight w:val="none"/>
              </w:rPr>
            </w:pPr>
          </w:p>
        </w:tc>
        <w:tc>
          <w:tcPr>
            <w:tcW w:w="1839" w:type="dxa"/>
            <w:vAlign w:val="center"/>
          </w:tcPr>
          <w:p>
            <w:pPr>
              <w:spacing w:line="360" w:lineRule="auto"/>
              <w:jc w:val="center"/>
              <w:rPr>
                <w:rFonts w:hAnsi="宋体"/>
                <w:color w:val="auto"/>
                <w:sz w:val="21"/>
                <w:szCs w:val="21"/>
                <w:highlight w:val="none"/>
              </w:rPr>
            </w:pPr>
          </w:p>
        </w:tc>
        <w:tc>
          <w:tcPr>
            <w:tcW w:w="1851" w:type="dxa"/>
            <w:vAlign w:val="center"/>
          </w:tcPr>
          <w:p>
            <w:pPr>
              <w:spacing w:line="360" w:lineRule="auto"/>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629" w:type="dxa"/>
            <w:vAlign w:val="center"/>
          </w:tcPr>
          <w:p>
            <w:pPr>
              <w:spacing w:line="360" w:lineRule="auto"/>
              <w:jc w:val="center"/>
              <w:rPr>
                <w:rFonts w:hAnsi="宋体"/>
                <w:color w:val="auto"/>
                <w:sz w:val="21"/>
                <w:szCs w:val="21"/>
                <w:highlight w:val="none"/>
              </w:rPr>
            </w:pPr>
          </w:p>
        </w:tc>
        <w:tc>
          <w:tcPr>
            <w:tcW w:w="1809" w:type="dxa"/>
            <w:vAlign w:val="center"/>
          </w:tcPr>
          <w:p>
            <w:pPr>
              <w:spacing w:line="360" w:lineRule="auto"/>
              <w:jc w:val="center"/>
              <w:rPr>
                <w:rFonts w:hAnsi="宋体"/>
                <w:color w:val="auto"/>
                <w:sz w:val="21"/>
                <w:szCs w:val="21"/>
                <w:highlight w:val="none"/>
              </w:rPr>
            </w:pPr>
          </w:p>
        </w:tc>
        <w:tc>
          <w:tcPr>
            <w:tcW w:w="1809" w:type="dxa"/>
            <w:vAlign w:val="center"/>
          </w:tcPr>
          <w:p>
            <w:pPr>
              <w:spacing w:line="360" w:lineRule="auto"/>
              <w:jc w:val="center"/>
              <w:rPr>
                <w:rFonts w:hAnsi="宋体"/>
                <w:color w:val="auto"/>
                <w:sz w:val="21"/>
                <w:szCs w:val="21"/>
                <w:highlight w:val="none"/>
              </w:rPr>
            </w:pPr>
          </w:p>
        </w:tc>
        <w:tc>
          <w:tcPr>
            <w:tcW w:w="1839" w:type="dxa"/>
            <w:vAlign w:val="center"/>
          </w:tcPr>
          <w:p>
            <w:pPr>
              <w:spacing w:line="360" w:lineRule="auto"/>
              <w:jc w:val="center"/>
              <w:rPr>
                <w:rFonts w:hAnsi="宋体"/>
                <w:color w:val="auto"/>
                <w:sz w:val="21"/>
                <w:szCs w:val="21"/>
                <w:highlight w:val="none"/>
              </w:rPr>
            </w:pPr>
          </w:p>
        </w:tc>
        <w:tc>
          <w:tcPr>
            <w:tcW w:w="1851" w:type="dxa"/>
            <w:vAlign w:val="center"/>
          </w:tcPr>
          <w:p>
            <w:pPr>
              <w:spacing w:line="360" w:lineRule="auto"/>
              <w:jc w:val="center"/>
              <w:rPr>
                <w:rFonts w:hAnsi="宋体"/>
                <w:color w:val="auto"/>
                <w:sz w:val="21"/>
                <w:szCs w:val="21"/>
                <w:highlight w:val="none"/>
              </w:rPr>
            </w:pPr>
          </w:p>
        </w:tc>
      </w:tr>
    </w:tbl>
    <w:p>
      <w:pPr>
        <w:spacing w:line="360" w:lineRule="auto"/>
        <w:rPr>
          <w:rFonts w:hAnsi="宋体"/>
          <w:b/>
          <w:color w:val="auto"/>
          <w:sz w:val="21"/>
          <w:szCs w:val="21"/>
          <w:highlight w:val="none"/>
        </w:rPr>
      </w:pPr>
    </w:p>
    <w:p>
      <w:pPr>
        <w:tabs>
          <w:tab w:val="left" w:pos="420"/>
          <w:tab w:val="left" w:pos="1485"/>
        </w:tabs>
        <w:spacing w:line="360" w:lineRule="auto"/>
        <w:rPr>
          <w:rFonts w:hAnsi="宋体"/>
          <w:color w:val="auto"/>
          <w:sz w:val="21"/>
          <w:szCs w:val="21"/>
          <w:highlight w:val="none"/>
        </w:rPr>
      </w:pPr>
      <w:r>
        <w:rPr>
          <w:rFonts w:hint="eastAsia" w:hAnsi="宋体"/>
          <w:color w:val="auto"/>
          <w:sz w:val="21"/>
          <w:szCs w:val="21"/>
          <w:highlight w:val="none"/>
        </w:rPr>
        <w:t>二、</w:t>
      </w:r>
      <w:r>
        <w:rPr>
          <w:rFonts w:hAnsi="宋体"/>
          <w:color w:val="auto"/>
          <w:sz w:val="21"/>
          <w:szCs w:val="21"/>
          <w:highlight w:val="none"/>
        </w:rPr>
        <w:t>供应商获得国家有关部门颁发的资质证明</w:t>
      </w:r>
      <w:r>
        <w:rPr>
          <w:rFonts w:hint="eastAsia" w:hAnsi="宋体"/>
          <w:color w:val="auto"/>
          <w:sz w:val="21"/>
          <w:szCs w:val="21"/>
          <w:highlight w:val="none"/>
        </w:rPr>
        <w:t>或荣誉</w:t>
      </w:r>
      <w:r>
        <w:rPr>
          <w:rFonts w:hAnsi="宋体"/>
          <w:color w:val="auto"/>
          <w:sz w:val="21"/>
          <w:szCs w:val="21"/>
          <w:highlight w:val="none"/>
        </w:rPr>
        <w:t>：</w:t>
      </w:r>
      <w:r>
        <w:rPr>
          <w:rFonts w:hint="eastAsia" w:hAnsi="宋体"/>
          <w:color w:val="auto"/>
          <w:sz w:val="21"/>
          <w:szCs w:val="21"/>
          <w:highlight w:val="none"/>
        </w:rPr>
        <w:t>（如有）</w:t>
      </w:r>
    </w:p>
    <w:tbl>
      <w:tblPr>
        <w:tblStyle w:val="53"/>
        <w:tblW w:w="88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1800"/>
        <w:gridCol w:w="1800"/>
        <w:gridCol w:w="1830"/>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620" w:type="dxa"/>
            <w:vAlign w:val="center"/>
          </w:tcPr>
          <w:p>
            <w:pPr>
              <w:jc w:val="center"/>
              <w:rPr>
                <w:rFonts w:hAnsi="宋体"/>
                <w:color w:val="auto"/>
                <w:sz w:val="21"/>
                <w:szCs w:val="21"/>
                <w:highlight w:val="none"/>
              </w:rPr>
            </w:pPr>
            <w:r>
              <w:rPr>
                <w:rFonts w:hAnsi="宋体"/>
                <w:color w:val="auto"/>
                <w:sz w:val="21"/>
                <w:szCs w:val="21"/>
                <w:highlight w:val="none"/>
              </w:rPr>
              <w:t>证书名称</w:t>
            </w:r>
          </w:p>
        </w:tc>
        <w:tc>
          <w:tcPr>
            <w:tcW w:w="1800" w:type="dxa"/>
            <w:vAlign w:val="center"/>
          </w:tcPr>
          <w:p>
            <w:pPr>
              <w:jc w:val="center"/>
              <w:rPr>
                <w:rFonts w:hAnsi="宋体"/>
                <w:color w:val="auto"/>
                <w:sz w:val="21"/>
                <w:szCs w:val="21"/>
                <w:highlight w:val="none"/>
              </w:rPr>
            </w:pPr>
            <w:r>
              <w:rPr>
                <w:rFonts w:hAnsi="宋体"/>
                <w:color w:val="auto"/>
                <w:sz w:val="21"/>
                <w:szCs w:val="21"/>
                <w:highlight w:val="none"/>
              </w:rPr>
              <w:t>发证单位</w:t>
            </w:r>
          </w:p>
        </w:tc>
        <w:tc>
          <w:tcPr>
            <w:tcW w:w="1800" w:type="dxa"/>
            <w:vAlign w:val="center"/>
          </w:tcPr>
          <w:p>
            <w:pPr>
              <w:jc w:val="center"/>
              <w:rPr>
                <w:rFonts w:hAnsi="宋体"/>
                <w:color w:val="auto"/>
                <w:sz w:val="21"/>
                <w:szCs w:val="21"/>
                <w:highlight w:val="none"/>
              </w:rPr>
            </w:pPr>
            <w:r>
              <w:rPr>
                <w:rFonts w:hAnsi="宋体"/>
                <w:color w:val="auto"/>
                <w:sz w:val="21"/>
                <w:szCs w:val="21"/>
                <w:highlight w:val="none"/>
              </w:rPr>
              <w:t>证书等级</w:t>
            </w:r>
          </w:p>
        </w:tc>
        <w:tc>
          <w:tcPr>
            <w:tcW w:w="1830" w:type="dxa"/>
            <w:vAlign w:val="center"/>
          </w:tcPr>
          <w:p>
            <w:pPr>
              <w:jc w:val="center"/>
              <w:rPr>
                <w:rFonts w:hAnsi="宋体"/>
                <w:color w:val="auto"/>
                <w:sz w:val="21"/>
                <w:szCs w:val="21"/>
                <w:highlight w:val="none"/>
              </w:rPr>
            </w:pPr>
            <w:r>
              <w:rPr>
                <w:rFonts w:hAnsi="宋体"/>
                <w:color w:val="auto"/>
                <w:sz w:val="21"/>
                <w:szCs w:val="21"/>
                <w:highlight w:val="none"/>
              </w:rPr>
              <w:t>证书有效期</w:t>
            </w:r>
          </w:p>
        </w:tc>
        <w:tc>
          <w:tcPr>
            <w:tcW w:w="1842" w:type="dxa"/>
            <w:vAlign w:val="center"/>
          </w:tcPr>
          <w:p>
            <w:pPr>
              <w:jc w:val="center"/>
              <w:rPr>
                <w:rFonts w:hAnsi="宋体"/>
                <w:color w:val="auto"/>
                <w:sz w:val="21"/>
                <w:szCs w:val="21"/>
                <w:highlight w:val="none"/>
              </w:rPr>
            </w:pPr>
            <w:r>
              <w:rPr>
                <w:rFonts w:hint="eastAsia" w:hAnsi="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620" w:type="dxa"/>
            <w:vAlign w:val="center"/>
          </w:tcPr>
          <w:p>
            <w:pPr>
              <w:spacing w:line="360" w:lineRule="auto"/>
              <w:jc w:val="center"/>
              <w:rPr>
                <w:rFonts w:hAnsi="宋体"/>
                <w:color w:val="auto"/>
                <w:sz w:val="21"/>
                <w:szCs w:val="21"/>
                <w:highlight w:val="none"/>
              </w:rPr>
            </w:pPr>
          </w:p>
        </w:tc>
        <w:tc>
          <w:tcPr>
            <w:tcW w:w="1800" w:type="dxa"/>
            <w:vAlign w:val="center"/>
          </w:tcPr>
          <w:p>
            <w:pPr>
              <w:spacing w:line="360" w:lineRule="auto"/>
              <w:jc w:val="center"/>
              <w:rPr>
                <w:rFonts w:hAnsi="宋体"/>
                <w:color w:val="auto"/>
                <w:sz w:val="21"/>
                <w:szCs w:val="21"/>
                <w:highlight w:val="none"/>
              </w:rPr>
            </w:pPr>
          </w:p>
        </w:tc>
        <w:tc>
          <w:tcPr>
            <w:tcW w:w="1800" w:type="dxa"/>
            <w:vAlign w:val="center"/>
          </w:tcPr>
          <w:p>
            <w:pPr>
              <w:spacing w:line="360" w:lineRule="auto"/>
              <w:jc w:val="center"/>
              <w:rPr>
                <w:rFonts w:hAnsi="宋体"/>
                <w:color w:val="auto"/>
                <w:sz w:val="21"/>
                <w:szCs w:val="21"/>
                <w:highlight w:val="none"/>
              </w:rPr>
            </w:pPr>
          </w:p>
        </w:tc>
        <w:tc>
          <w:tcPr>
            <w:tcW w:w="1830" w:type="dxa"/>
            <w:vAlign w:val="center"/>
          </w:tcPr>
          <w:p>
            <w:pPr>
              <w:spacing w:line="360" w:lineRule="auto"/>
              <w:jc w:val="center"/>
              <w:rPr>
                <w:rFonts w:hAnsi="宋体"/>
                <w:color w:val="auto"/>
                <w:sz w:val="21"/>
                <w:szCs w:val="21"/>
                <w:highlight w:val="none"/>
              </w:rPr>
            </w:pPr>
          </w:p>
        </w:tc>
        <w:tc>
          <w:tcPr>
            <w:tcW w:w="1842" w:type="dxa"/>
            <w:vAlign w:val="center"/>
          </w:tcPr>
          <w:p>
            <w:pPr>
              <w:spacing w:line="360" w:lineRule="auto"/>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620" w:type="dxa"/>
            <w:vAlign w:val="center"/>
          </w:tcPr>
          <w:p>
            <w:pPr>
              <w:spacing w:line="360" w:lineRule="auto"/>
              <w:jc w:val="center"/>
              <w:rPr>
                <w:rFonts w:hAnsi="宋体"/>
                <w:color w:val="auto"/>
                <w:sz w:val="21"/>
                <w:szCs w:val="21"/>
                <w:highlight w:val="none"/>
              </w:rPr>
            </w:pPr>
          </w:p>
        </w:tc>
        <w:tc>
          <w:tcPr>
            <w:tcW w:w="1800" w:type="dxa"/>
            <w:vAlign w:val="center"/>
          </w:tcPr>
          <w:p>
            <w:pPr>
              <w:spacing w:line="360" w:lineRule="auto"/>
              <w:jc w:val="center"/>
              <w:rPr>
                <w:rFonts w:hAnsi="宋体"/>
                <w:color w:val="auto"/>
                <w:sz w:val="21"/>
                <w:szCs w:val="21"/>
                <w:highlight w:val="none"/>
              </w:rPr>
            </w:pPr>
          </w:p>
        </w:tc>
        <w:tc>
          <w:tcPr>
            <w:tcW w:w="1800" w:type="dxa"/>
            <w:vAlign w:val="center"/>
          </w:tcPr>
          <w:p>
            <w:pPr>
              <w:spacing w:line="360" w:lineRule="auto"/>
              <w:jc w:val="center"/>
              <w:rPr>
                <w:rFonts w:hAnsi="宋体"/>
                <w:color w:val="auto"/>
                <w:sz w:val="21"/>
                <w:szCs w:val="21"/>
                <w:highlight w:val="none"/>
              </w:rPr>
            </w:pPr>
          </w:p>
        </w:tc>
        <w:tc>
          <w:tcPr>
            <w:tcW w:w="1830" w:type="dxa"/>
            <w:vAlign w:val="center"/>
          </w:tcPr>
          <w:p>
            <w:pPr>
              <w:spacing w:line="360" w:lineRule="auto"/>
              <w:jc w:val="center"/>
              <w:rPr>
                <w:rFonts w:hAnsi="宋体"/>
                <w:color w:val="auto"/>
                <w:sz w:val="21"/>
                <w:szCs w:val="21"/>
                <w:highlight w:val="none"/>
              </w:rPr>
            </w:pPr>
          </w:p>
        </w:tc>
        <w:tc>
          <w:tcPr>
            <w:tcW w:w="1842" w:type="dxa"/>
            <w:vAlign w:val="center"/>
          </w:tcPr>
          <w:p>
            <w:pPr>
              <w:spacing w:line="360" w:lineRule="auto"/>
              <w:jc w:val="center"/>
              <w:rPr>
                <w:rFonts w:hAnsi="宋体"/>
                <w:color w:val="auto"/>
                <w:sz w:val="21"/>
                <w:szCs w:val="21"/>
                <w:highlight w:val="none"/>
              </w:rPr>
            </w:pPr>
          </w:p>
        </w:tc>
      </w:tr>
    </w:tbl>
    <w:p>
      <w:pPr>
        <w:spacing w:line="420" w:lineRule="atLeast"/>
        <w:rPr>
          <w:rFonts w:hAnsi="宋体"/>
          <w:color w:val="auto"/>
          <w:sz w:val="21"/>
          <w:szCs w:val="21"/>
          <w:highlight w:val="none"/>
        </w:rPr>
      </w:pPr>
      <w:r>
        <w:rPr>
          <w:rFonts w:hint="eastAsia" w:hAnsi="宋体"/>
          <w:color w:val="auto"/>
          <w:sz w:val="21"/>
          <w:szCs w:val="21"/>
          <w:highlight w:val="none"/>
        </w:rPr>
        <w:t>备注：以上资质或荣誉必须提供相关证明材料。</w:t>
      </w:r>
    </w:p>
    <w:p>
      <w:pPr>
        <w:spacing w:line="420" w:lineRule="atLeast"/>
        <w:rPr>
          <w:rFonts w:hAnsi="宋体"/>
          <w:color w:val="auto"/>
          <w:sz w:val="21"/>
          <w:szCs w:val="21"/>
          <w:highlight w:val="none"/>
        </w:rPr>
      </w:pPr>
      <w:r>
        <w:rPr>
          <w:rFonts w:hint="eastAsia" w:hAnsi="宋体"/>
          <w:color w:val="auto"/>
          <w:sz w:val="21"/>
          <w:szCs w:val="21"/>
          <w:highlight w:val="none"/>
        </w:rPr>
        <w:t>兹证明上述声明是真实、正确的，并提供了全部能提供的资料和数据，我方同意遵照贵方要求出示有关证明文件。</w:t>
      </w: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 xml:space="preserve">日期：年月日 </w:t>
      </w:r>
    </w:p>
    <w:p>
      <w:pPr>
        <w:pStyle w:val="4"/>
        <w:numPr>
          <w:ilvl w:val="0"/>
          <w:numId w:val="35"/>
        </w:numPr>
        <w:jc w:val="center"/>
        <w:rPr>
          <w:b w:val="0"/>
          <w:color w:val="auto"/>
          <w:sz w:val="28"/>
          <w:szCs w:val="28"/>
          <w:highlight w:val="none"/>
          <w:u w:val="single"/>
        </w:rPr>
      </w:pPr>
      <w:r>
        <w:rPr>
          <w:color w:val="auto"/>
          <w:sz w:val="22"/>
          <w:szCs w:val="22"/>
          <w:highlight w:val="none"/>
        </w:rPr>
        <w:br w:type="page"/>
      </w:r>
      <w:bookmarkStart w:id="212" w:name="_Toc7897894"/>
      <w:bookmarkStart w:id="213" w:name="_Toc17704"/>
      <w:bookmarkStart w:id="214" w:name="_Toc27094"/>
      <w:r>
        <w:rPr>
          <w:rFonts w:hint="eastAsia"/>
          <w:bCs/>
          <w:color w:val="auto"/>
          <w:sz w:val="28"/>
          <w:szCs w:val="28"/>
          <w:highlight w:val="none"/>
        </w:rPr>
        <w:t>偏离表</w:t>
      </w:r>
      <w:bookmarkEnd w:id="188"/>
      <w:bookmarkEnd w:id="212"/>
      <w:bookmarkEnd w:id="213"/>
      <w:bookmarkEnd w:id="214"/>
    </w:p>
    <w:p>
      <w:pPr>
        <w:pStyle w:val="13"/>
        <w:ind w:firstLine="480"/>
        <w:rPr>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color w:val="auto"/>
          <w:szCs w:val="21"/>
          <w:highlight w:val="none"/>
        </w:rPr>
      </w:pPr>
    </w:p>
    <w:tbl>
      <w:tblPr>
        <w:tblStyle w:val="5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61"/>
        <w:gridCol w:w="1241"/>
        <w:gridCol w:w="1984"/>
        <w:gridCol w:w="127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17" w:type="dxa"/>
            <w:vAlign w:val="center"/>
          </w:tcPr>
          <w:p>
            <w:pPr>
              <w:jc w:val="center"/>
              <w:rPr>
                <w:rFonts w:hAnsi="宋体"/>
                <w:b/>
                <w:bCs/>
                <w:color w:val="auto"/>
                <w:sz w:val="21"/>
                <w:szCs w:val="21"/>
                <w:highlight w:val="none"/>
              </w:rPr>
            </w:pPr>
            <w:r>
              <w:rPr>
                <w:rFonts w:hint="eastAsia" w:hAnsi="宋体"/>
                <w:b/>
                <w:bCs/>
                <w:color w:val="auto"/>
                <w:sz w:val="21"/>
                <w:szCs w:val="21"/>
                <w:highlight w:val="none"/>
              </w:rPr>
              <w:t>序号</w:t>
            </w:r>
          </w:p>
        </w:tc>
        <w:tc>
          <w:tcPr>
            <w:tcW w:w="2161" w:type="dxa"/>
            <w:vAlign w:val="center"/>
          </w:tcPr>
          <w:p>
            <w:pPr>
              <w:jc w:val="center"/>
              <w:rPr>
                <w:rFonts w:hAnsi="宋体"/>
                <w:b/>
                <w:bCs/>
                <w:color w:val="auto"/>
                <w:sz w:val="21"/>
                <w:szCs w:val="21"/>
                <w:highlight w:val="none"/>
              </w:rPr>
            </w:pPr>
            <w:r>
              <w:rPr>
                <w:rFonts w:hint="eastAsia" w:hAnsi="宋体"/>
                <w:b/>
                <w:bCs/>
                <w:color w:val="auto"/>
                <w:sz w:val="21"/>
                <w:szCs w:val="21"/>
                <w:highlight w:val="none"/>
              </w:rPr>
              <w:t>项 目</w:t>
            </w:r>
          </w:p>
        </w:tc>
        <w:tc>
          <w:tcPr>
            <w:tcW w:w="1241" w:type="dxa"/>
            <w:vAlign w:val="center"/>
          </w:tcPr>
          <w:p>
            <w:pPr>
              <w:jc w:val="center"/>
              <w:rPr>
                <w:rFonts w:hAnsi="宋体"/>
                <w:b/>
                <w:bCs/>
                <w:color w:val="auto"/>
                <w:sz w:val="21"/>
                <w:szCs w:val="21"/>
                <w:highlight w:val="none"/>
              </w:rPr>
            </w:pPr>
            <w:r>
              <w:rPr>
                <w:rFonts w:hint="eastAsia" w:hAnsi="宋体"/>
                <w:b/>
                <w:bCs/>
                <w:color w:val="auto"/>
                <w:sz w:val="21"/>
                <w:szCs w:val="21"/>
                <w:highlight w:val="none"/>
              </w:rPr>
              <w:t>磋商文件要求</w:t>
            </w:r>
          </w:p>
        </w:tc>
        <w:tc>
          <w:tcPr>
            <w:tcW w:w="1984" w:type="dxa"/>
            <w:vAlign w:val="center"/>
          </w:tcPr>
          <w:p>
            <w:pPr>
              <w:jc w:val="center"/>
              <w:rPr>
                <w:rFonts w:hAnsi="宋体"/>
                <w:b/>
                <w:bCs/>
                <w:color w:val="auto"/>
                <w:sz w:val="21"/>
                <w:szCs w:val="21"/>
                <w:highlight w:val="none"/>
              </w:rPr>
            </w:pPr>
            <w:r>
              <w:rPr>
                <w:rFonts w:hint="eastAsia" w:hAnsi="宋体"/>
                <w:b/>
                <w:bCs/>
                <w:color w:val="auto"/>
                <w:sz w:val="21"/>
                <w:szCs w:val="21"/>
                <w:highlight w:val="none"/>
              </w:rPr>
              <w:t>响应文件</w:t>
            </w:r>
          </w:p>
          <w:p>
            <w:pPr>
              <w:jc w:val="center"/>
              <w:rPr>
                <w:rFonts w:hAnsi="宋体"/>
                <w:b/>
                <w:bCs/>
                <w:color w:val="auto"/>
                <w:sz w:val="21"/>
                <w:szCs w:val="21"/>
                <w:highlight w:val="none"/>
              </w:rPr>
            </w:pPr>
            <w:r>
              <w:rPr>
                <w:rFonts w:hint="eastAsia" w:hAnsi="宋体"/>
                <w:b/>
                <w:bCs/>
                <w:color w:val="auto"/>
                <w:sz w:val="21"/>
                <w:szCs w:val="21"/>
                <w:highlight w:val="none"/>
              </w:rPr>
              <w:t>响应情况</w:t>
            </w:r>
          </w:p>
        </w:tc>
        <w:tc>
          <w:tcPr>
            <w:tcW w:w="1276" w:type="dxa"/>
            <w:vAlign w:val="center"/>
          </w:tcPr>
          <w:p>
            <w:pPr>
              <w:jc w:val="center"/>
              <w:rPr>
                <w:rFonts w:hAnsi="宋体"/>
                <w:b/>
                <w:bCs/>
                <w:color w:val="auto"/>
                <w:sz w:val="21"/>
                <w:szCs w:val="21"/>
                <w:highlight w:val="none"/>
              </w:rPr>
            </w:pPr>
            <w:r>
              <w:rPr>
                <w:rFonts w:hint="eastAsia" w:hAnsi="宋体"/>
                <w:b/>
                <w:bCs/>
                <w:color w:val="auto"/>
                <w:sz w:val="21"/>
                <w:szCs w:val="21"/>
                <w:highlight w:val="none"/>
              </w:rPr>
              <w:t>偏离情况</w:t>
            </w:r>
          </w:p>
        </w:tc>
        <w:tc>
          <w:tcPr>
            <w:tcW w:w="1594" w:type="dxa"/>
            <w:vAlign w:val="center"/>
          </w:tcPr>
          <w:p>
            <w:pPr>
              <w:jc w:val="center"/>
              <w:rPr>
                <w:rFonts w:hAnsi="宋体"/>
                <w:b/>
                <w:bCs/>
                <w:color w:val="auto"/>
                <w:sz w:val="21"/>
                <w:szCs w:val="21"/>
                <w:highlight w:val="none"/>
              </w:rPr>
            </w:pPr>
            <w:r>
              <w:rPr>
                <w:rFonts w:hint="eastAsia" w:hAnsi="宋体"/>
                <w:b/>
                <w:bCs/>
                <w:color w:val="auto"/>
                <w:sz w:val="21"/>
                <w:szCs w:val="21"/>
                <w:highlight w:val="none"/>
              </w:rPr>
              <w:t>偏离情况</w:t>
            </w:r>
          </w:p>
          <w:p>
            <w:pPr>
              <w:jc w:val="center"/>
              <w:rPr>
                <w:rFonts w:hAnsi="宋体"/>
                <w:b/>
                <w:bCs/>
                <w:color w:val="auto"/>
                <w:sz w:val="21"/>
                <w:szCs w:val="21"/>
                <w:highlight w:val="none"/>
              </w:rPr>
            </w:pPr>
            <w:r>
              <w:rPr>
                <w:rFonts w:hint="eastAsia" w:hAnsi="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hAnsi="宋体"/>
                <w:b/>
                <w:color w:val="auto"/>
                <w:sz w:val="21"/>
                <w:szCs w:val="21"/>
                <w:highlight w:val="none"/>
              </w:rPr>
            </w:pPr>
            <w:r>
              <w:rPr>
                <w:rFonts w:hint="eastAsia" w:hAnsi="宋体"/>
                <w:b/>
                <w:color w:val="auto"/>
                <w:sz w:val="21"/>
                <w:szCs w:val="21"/>
                <w:highlight w:val="none"/>
              </w:rPr>
              <w:t>1</w:t>
            </w:r>
          </w:p>
        </w:tc>
        <w:tc>
          <w:tcPr>
            <w:tcW w:w="2161" w:type="dxa"/>
            <w:vAlign w:val="center"/>
          </w:tcPr>
          <w:p>
            <w:pPr>
              <w:rPr>
                <w:rFonts w:hAnsi="宋体"/>
                <w:bCs/>
                <w:color w:val="auto"/>
                <w:sz w:val="21"/>
                <w:szCs w:val="21"/>
                <w:highlight w:val="none"/>
              </w:rPr>
            </w:pPr>
          </w:p>
        </w:tc>
        <w:tc>
          <w:tcPr>
            <w:tcW w:w="1241" w:type="dxa"/>
            <w:vAlign w:val="center"/>
          </w:tcPr>
          <w:p>
            <w:pPr>
              <w:jc w:val="center"/>
              <w:rPr>
                <w:rFonts w:hAnsi="宋体"/>
                <w:color w:val="auto"/>
                <w:sz w:val="21"/>
                <w:szCs w:val="21"/>
                <w:highlight w:val="none"/>
              </w:rPr>
            </w:pPr>
          </w:p>
        </w:tc>
        <w:tc>
          <w:tcPr>
            <w:tcW w:w="1984" w:type="dxa"/>
            <w:vAlign w:val="center"/>
          </w:tcPr>
          <w:p>
            <w:pPr>
              <w:jc w:val="center"/>
              <w:rPr>
                <w:rFonts w:hAnsi="宋体"/>
                <w:color w:val="auto"/>
                <w:sz w:val="21"/>
                <w:szCs w:val="21"/>
                <w:highlight w:val="none"/>
              </w:rPr>
            </w:pPr>
          </w:p>
        </w:tc>
        <w:tc>
          <w:tcPr>
            <w:tcW w:w="1276" w:type="dxa"/>
            <w:vAlign w:val="center"/>
          </w:tcPr>
          <w:p>
            <w:pPr>
              <w:ind w:left="-446" w:leftChars="-186" w:firstLine="390" w:firstLineChars="186"/>
              <w:jc w:val="center"/>
              <w:rPr>
                <w:rFonts w:hAnsi="宋体"/>
                <w:color w:val="auto"/>
                <w:sz w:val="21"/>
                <w:szCs w:val="21"/>
                <w:highlight w:val="none"/>
              </w:rPr>
            </w:pPr>
          </w:p>
        </w:tc>
        <w:tc>
          <w:tcPr>
            <w:tcW w:w="1594" w:type="dxa"/>
            <w:vAlign w:val="center"/>
          </w:tcPr>
          <w:p>
            <w:pPr>
              <w:ind w:left="-446" w:leftChars="-186" w:firstLine="390" w:firstLineChars="186"/>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hAnsi="宋体"/>
                <w:b/>
                <w:color w:val="auto"/>
                <w:sz w:val="21"/>
                <w:szCs w:val="21"/>
                <w:highlight w:val="none"/>
              </w:rPr>
            </w:pPr>
            <w:r>
              <w:rPr>
                <w:rFonts w:hint="eastAsia" w:hAnsi="宋体"/>
                <w:b/>
                <w:color w:val="auto"/>
                <w:sz w:val="21"/>
                <w:szCs w:val="21"/>
                <w:highlight w:val="none"/>
              </w:rPr>
              <w:t>2</w:t>
            </w:r>
          </w:p>
        </w:tc>
        <w:tc>
          <w:tcPr>
            <w:tcW w:w="2161" w:type="dxa"/>
            <w:vAlign w:val="center"/>
          </w:tcPr>
          <w:p>
            <w:pPr>
              <w:rPr>
                <w:rFonts w:hAnsi="宋体"/>
                <w:bCs/>
                <w:color w:val="auto"/>
                <w:sz w:val="21"/>
                <w:szCs w:val="21"/>
                <w:highlight w:val="none"/>
              </w:rPr>
            </w:pPr>
          </w:p>
        </w:tc>
        <w:tc>
          <w:tcPr>
            <w:tcW w:w="1241" w:type="dxa"/>
            <w:vAlign w:val="center"/>
          </w:tcPr>
          <w:p>
            <w:pPr>
              <w:jc w:val="center"/>
              <w:rPr>
                <w:rFonts w:hAnsi="宋体"/>
                <w:color w:val="auto"/>
                <w:sz w:val="21"/>
                <w:szCs w:val="21"/>
                <w:highlight w:val="none"/>
              </w:rPr>
            </w:pPr>
          </w:p>
        </w:tc>
        <w:tc>
          <w:tcPr>
            <w:tcW w:w="1984" w:type="dxa"/>
            <w:vAlign w:val="center"/>
          </w:tcPr>
          <w:p>
            <w:pPr>
              <w:jc w:val="center"/>
              <w:rPr>
                <w:rFonts w:hAnsi="宋体"/>
                <w:color w:val="auto"/>
                <w:sz w:val="21"/>
                <w:szCs w:val="21"/>
                <w:highlight w:val="none"/>
              </w:rPr>
            </w:pPr>
          </w:p>
        </w:tc>
        <w:tc>
          <w:tcPr>
            <w:tcW w:w="1276" w:type="dxa"/>
            <w:vAlign w:val="center"/>
          </w:tcPr>
          <w:p>
            <w:pPr>
              <w:jc w:val="center"/>
              <w:rPr>
                <w:rFonts w:hAnsi="宋体"/>
                <w:color w:val="auto"/>
                <w:sz w:val="21"/>
                <w:szCs w:val="21"/>
                <w:highlight w:val="none"/>
              </w:rPr>
            </w:pPr>
          </w:p>
        </w:tc>
        <w:tc>
          <w:tcPr>
            <w:tcW w:w="1594" w:type="dxa"/>
            <w:vAlign w:val="center"/>
          </w:tcPr>
          <w:p>
            <w:pPr>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hAnsi="宋体"/>
                <w:b/>
                <w:color w:val="auto"/>
                <w:sz w:val="21"/>
                <w:szCs w:val="21"/>
                <w:highlight w:val="none"/>
              </w:rPr>
            </w:pPr>
            <w:r>
              <w:rPr>
                <w:rFonts w:hint="eastAsia" w:hAnsi="宋体"/>
                <w:b/>
                <w:color w:val="auto"/>
                <w:sz w:val="21"/>
                <w:szCs w:val="21"/>
                <w:highlight w:val="none"/>
              </w:rPr>
              <w:t>3</w:t>
            </w:r>
          </w:p>
        </w:tc>
        <w:tc>
          <w:tcPr>
            <w:tcW w:w="2161" w:type="dxa"/>
            <w:vAlign w:val="center"/>
          </w:tcPr>
          <w:p>
            <w:pPr>
              <w:rPr>
                <w:rFonts w:hAnsi="宋体"/>
                <w:bCs/>
                <w:color w:val="auto"/>
                <w:sz w:val="21"/>
                <w:szCs w:val="21"/>
                <w:highlight w:val="none"/>
              </w:rPr>
            </w:pPr>
          </w:p>
        </w:tc>
        <w:tc>
          <w:tcPr>
            <w:tcW w:w="1241" w:type="dxa"/>
            <w:vAlign w:val="center"/>
          </w:tcPr>
          <w:p>
            <w:pPr>
              <w:jc w:val="center"/>
              <w:rPr>
                <w:rFonts w:hAnsi="宋体"/>
                <w:color w:val="auto"/>
                <w:sz w:val="21"/>
                <w:szCs w:val="21"/>
                <w:highlight w:val="none"/>
              </w:rPr>
            </w:pPr>
          </w:p>
        </w:tc>
        <w:tc>
          <w:tcPr>
            <w:tcW w:w="1984" w:type="dxa"/>
            <w:vAlign w:val="center"/>
          </w:tcPr>
          <w:p>
            <w:pPr>
              <w:jc w:val="center"/>
              <w:rPr>
                <w:rFonts w:hAnsi="宋体"/>
                <w:color w:val="auto"/>
                <w:sz w:val="21"/>
                <w:szCs w:val="21"/>
                <w:highlight w:val="none"/>
              </w:rPr>
            </w:pPr>
          </w:p>
        </w:tc>
        <w:tc>
          <w:tcPr>
            <w:tcW w:w="1276" w:type="dxa"/>
            <w:vAlign w:val="center"/>
          </w:tcPr>
          <w:p>
            <w:pPr>
              <w:jc w:val="center"/>
              <w:rPr>
                <w:rFonts w:hAnsi="宋体"/>
                <w:color w:val="auto"/>
                <w:sz w:val="21"/>
                <w:szCs w:val="21"/>
                <w:highlight w:val="none"/>
              </w:rPr>
            </w:pPr>
          </w:p>
        </w:tc>
        <w:tc>
          <w:tcPr>
            <w:tcW w:w="1594" w:type="dxa"/>
            <w:vAlign w:val="center"/>
          </w:tcPr>
          <w:p>
            <w:pPr>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hAnsi="宋体"/>
                <w:b/>
                <w:color w:val="auto"/>
                <w:sz w:val="21"/>
                <w:szCs w:val="21"/>
                <w:highlight w:val="none"/>
              </w:rPr>
            </w:pPr>
            <w:r>
              <w:rPr>
                <w:rFonts w:hint="eastAsia" w:hAnsi="宋体"/>
                <w:b/>
                <w:color w:val="auto"/>
                <w:sz w:val="21"/>
                <w:szCs w:val="21"/>
                <w:highlight w:val="none"/>
              </w:rPr>
              <w:t>···</w:t>
            </w:r>
          </w:p>
        </w:tc>
        <w:tc>
          <w:tcPr>
            <w:tcW w:w="2161" w:type="dxa"/>
            <w:vAlign w:val="center"/>
          </w:tcPr>
          <w:p>
            <w:pPr>
              <w:rPr>
                <w:rFonts w:hAnsi="宋体"/>
                <w:bCs/>
                <w:color w:val="auto"/>
                <w:sz w:val="21"/>
                <w:szCs w:val="21"/>
                <w:highlight w:val="none"/>
              </w:rPr>
            </w:pPr>
          </w:p>
        </w:tc>
        <w:tc>
          <w:tcPr>
            <w:tcW w:w="1241" w:type="dxa"/>
            <w:vAlign w:val="center"/>
          </w:tcPr>
          <w:p>
            <w:pPr>
              <w:jc w:val="center"/>
              <w:rPr>
                <w:rFonts w:hAnsi="宋体"/>
                <w:color w:val="auto"/>
                <w:sz w:val="21"/>
                <w:szCs w:val="21"/>
                <w:highlight w:val="none"/>
              </w:rPr>
            </w:pPr>
          </w:p>
        </w:tc>
        <w:tc>
          <w:tcPr>
            <w:tcW w:w="1984" w:type="dxa"/>
            <w:vAlign w:val="center"/>
          </w:tcPr>
          <w:p>
            <w:pPr>
              <w:jc w:val="center"/>
              <w:rPr>
                <w:rFonts w:hAnsi="宋体"/>
                <w:color w:val="auto"/>
                <w:sz w:val="21"/>
                <w:szCs w:val="21"/>
                <w:highlight w:val="none"/>
              </w:rPr>
            </w:pPr>
          </w:p>
        </w:tc>
        <w:tc>
          <w:tcPr>
            <w:tcW w:w="1276" w:type="dxa"/>
            <w:vAlign w:val="center"/>
          </w:tcPr>
          <w:p>
            <w:pPr>
              <w:jc w:val="center"/>
              <w:rPr>
                <w:rFonts w:hAnsi="宋体"/>
                <w:color w:val="auto"/>
                <w:sz w:val="21"/>
                <w:szCs w:val="21"/>
                <w:highlight w:val="none"/>
              </w:rPr>
            </w:pPr>
          </w:p>
        </w:tc>
        <w:tc>
          <w:tcPr>
            <w:tcW w:w="1594" w:type="dxa"/>
            <w:vAlign w:val="center"/>
          </w:tcPr>
          <w:p>
            <w:pPr>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hAnsi="宋体"/>
                <w:b/>
                <w:color w:val="auto"/>
                <w:sz w:val="21"/>
                <w:szCs w:val="21"/>
                <w:highlight w:val="none"/>
              </w:rPr>
            </w:pPr>
          </w:p>
        </w:tc>
        <w:tc>
          <w:tcPr>
            <w:tcW w:w="2161" w:type="dxa"/>
            <w:vAlign w:val="center"/>
          </w:tcPr>
          <w:p>
            <w:pPr>
              <w:rPr>
                <w:rFonts w:hAnsi="宋体"/>
                <w:bCs/>
                <w:color w:val="auto"/>
                <w:sz w:val="21"/>
                <w:szCs w:val="21"/>
                <w:highlight w:val="none"/>
              </w:rPr>
            </w:pPr>
          </w:p>
        </w:tc>
        <w:tc>
          <w:tcPr>
            <w:tcW w:w="1241" w:type="dxa"/>
            <w:vAlign w:val="center"/>
          </w:tcPr>
          <w:p>
            <w:pPr>
              <w:jc w:val="center"/>
              <w:rPr>
                <w:rFonts w:hAnsi="宋体"/>
                <w:color w:val="auto"/>
                <w:sz w:val="21"/>
                <w:szCs w:val="21"/>
                <w:highlight w:val="none"/>
              </w:rPr>
            </w:pPr>
          </w:p>
        </w:tc>
        <w:tc>
          <w:tcPr>
            <w:tcW w:w="1984" w:type="dxa"/>
            <w:vAlign w:val="center"/>
          </w:tcPr>
          <w:p>
            <w:pPr>
              <w:jc w:val="center"/>
              <w:rPr>
                <w:rFonts w:hAnsi="宋体"/>
                <w:color w:val="auto"/>
                <w:sz w:val="21"/>
                <w:szCs w:val="21"/>
                <w:highlight w:val="none"/>
              </w:rPr>
            </w:pPr>
          </w:p>
        </w:tc>
        <w:tc>
          <w:tcPr>
            <w:tcW w:w="1276" w:type="dxa"/>
            <w:vAlign w:val="center"/>
          </w:tcPr>
          <w:p>
            <w:pPr>
              <w:jc w:val="center"/>
              <w:rPr>
                <w:rFonts w:hAnsi="宋体"/>
                <w:color w:val="auto"/>
                <w:sz w:val="21"/>
                <w:szCs w:val="21"/>
                <w:highlight w:val="none"/>
              </w:rPr>
            </w:pPr>
          </w:p>
        </w:tc>
        <w:tc>
          <w:tcPr>
            <w:tcW w:w="1594" w:type="dxa"/>
            <w:vAlign w:val="center"/>
          </w:tcPr>
          <w:p>
            <w:pPr>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hAnsi="宋体"/>
                <w:b/>
                <w:color w:val="auto"/>
                <w:sz w:val="21"/>
                <w:szCs w:val="21"/>
                <w:highlight w:val="none"/>
              </w:rPr>
            </w:pPr>
          </w:p>
        </w:tc>
        <w:tc>
          <w:tcPr>
            <w:tcW w:w="2161" w:type="dxa"/>
            <w:vAlign w:val="center"/>
          </w:tcPr>
          <w:p>
            <w:pPr>
              <w:rPr>
                <w:rFonts w:hAnsi="宋体"/>
                <w:bCs/>
                <w:color w:val="auto"/>
                <w:sz w:val="21"/>
                <w:szCs w:val="21"/>
                <w:highlight w:val="none"/>
              </w:rPr>
            </w:pPr>
          </w:p>
        </w:tc>
        <w:tc>
          <w:tcPr>
            <w:tcW w:w="1241" w:type="dxa"/>
            <w:vAlign w:val="center"/>
          </w:tcPr>
          <w:p>
            <w:pPr>
              <w:jc w:val="center"/>
              <w:rPr>
                <w:rFonts w:hAnsi="宋体"/>
                <w:color w:val="auto"/>
                <w:sz w:val="21"/>
                <w:szCs w:val="21"/>
                <w:highlight w:val="none"/>
              </w:rPr>
            </w:pPr>
          </w:p>
        </w:tc>
        <w:tc>
          <w:tcPr>
            <w:tcW w:w="1984" w:type="dxa"/>
            <w:vAlign w:val="center"/>
          </w:tcPr>
          <w:p>
            <w:pPr>
              <w:jc w:val="center"/>
              <w:rPr>
                <w:rFonts w:hAnsi="宋体"/>
                <w:color w:val="auto"/>
                <w:sz w:val="21"/>
                <w:szCs w:val="21"/>
                <w:highlight w:val="none"/>
              </w:rPr>
            </w:pPr>
          </w:p>
        </w:tc>
        <w:tc>
          <w:tcPr>
            <w:tcW w:w="1276" w:type="dxa"/>
            <w:vAlign w:val="center"/>
          </w:tcPr>
          <w:p>
            <w:pPr>
              <w:jc w:val="center"/>
              <w:rPr>
                <w:rFonts w:hAnsi="宋体"/>
                <w:color w:val="auto"/>
                <w:sz w:val="21"/>
                <w:szCs w:val="21"/>
                <w:highlight w:val="none"/>
              </w:rPr>
            </w:pPr>
          </w:p>
        </w:tc>
        <w:tc>
          <w:tcPr>
            <w:tcW w:w="1594" w:type="dxa"/>
            <w:vAlign w:val="center"/>
          </w:tcPr>
          <w:p>
            <w:pPr>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hAnsi="宋体"/>
                <w:b/>
                <w:color w:val="auto"/>
                <w:sz w:val="21"/>
                <w:szCs w:val="21"/>
                <w:highlight w:val="none"/>
              </w:rPr>
            </w:pPr>
          </w:p>
        </w:tc>
        <w:tc>
          <w:tcPr>
            <w:tcW w:w="2161" w:type="dxa"/>
            <w:vAlign w:val="center"/>
          </w:tcPr>
          <w:p>
            <w:pPr>
              <w:jc w:val="center"/>
              <w:rPr>
                <w:rFonts w:hAnsi="宋体"/>
                <w:bCs/>
                <w:color w:val="auto"/>
                <w:sz w:val="21"/>
                <w:szCs w:val="21"/>
                <w:highlight w:val="none"/>
              </w:rPr>
            </w:pPr>
            <w:r>
              <w:rPr>
                <w:rFonts w:hint="eastAsia" w:hAnsi="宋体"/>
                <w:bCs/>
                <w:color w:val="auto"/>
                <w:sz w:val="21"/>
                <w:szCs w:val="21"/>
                <w:highlight w:val="none"/>
              </w:rPr>
              <w:t>其他</w:t>
            </w:r>
          </w:p>
        </w:tc>
        <w:tc>
          <w:tcPr>
            <w:tcW w:w="1241" w:type="dxa"/>
            <w:vAlign w:val="center"/>
          </w:tcPr>
          <w:p>
            <w:pPr>
              <w:jc w:val="center"/>
              <w:rPr>
                <w:rFonts w:hAnsi="宋体"/>
                <w:color w:val="auto"/>
                <w:sz w:val="21"/>
                <w:szCs w:val="21"/>
                <w:highlight w:val="none"/>
              </w:rPr>
            </w:pPr>
          </w:p>
        </w:tc>
        <w:tc>
          <w:tcPr>
            <w:tcW w:w="1984" w:type="dxa"/>
            <w:vAlign w:val="center"/>
          </w:tcPr>
          <w:p>
            <w:pPr>
              <w:jc w:val="center"/>
              <w:rPr>
                <w:rFonts w:hAnsi="宋体"/>
                <w:color w:val="auto"/>
                <w:sz w:val="21"/>
                <w:szCs w:val="21"/>
                <w:highlight w:val="none"/>
              </w:rPr>
            </w:pPr>
          </w:p>
        </w:tc>
        <w:tc>
          <w:tcPr>
            <w:tcW w:w="1276" w:type="dxa"/>
            <w:vAlign w:val="center"/>
          </w:tcPr>
          <w:p>
            <w:pPr>
              <w:jc w:val="center"/>
              <w:rPr>
                <w:rFonts w:hAnsi="宋体"/>
                <w:color w:val="auto"/>
                <w:sz w:val="21"/>
                <w:szCs w:val="21"/>
                <w:highlight w:val="none"/>
              </w:rPr>
            </w:pPr>
          </w:p>
        </w:tc>
        <w:tc>
          <w:tcPr>
            <w:tcW w:w="1594" w:type="dxa"/>
            <w:vAlign w:val="center"/>
          </w:tcPr>
          <w:p>
            <w:pPr>
              <w:jc w:val="center"/>
              <w:rPr>
                <w:rFonts w:hAnsi="宋体"/>
                <w:color w:val="auto"/>
                <w:sz w:val="21"/>
                <w:szCs w:val="21"/>
                <w:highlight w:val="none"/>
              </w:rPr>
            </w:pPr>
          </w:p>
        </w:tc>
      </w:tr>
    </w:tbl>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b/>
          <w:bCs/>
          <w:color w:val="auto"/>
          <w:sz w:val="21"/>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rPr>
          <w:rFonts w:hAnsi="宋体"/>
          <w:color w:val="auto"/>
          <w:sz w:val="21"/>
          <w:szCs w:val="21"/>
          <w:highlight w:val="none"/>
        </w:rPr>
      </w:pPr>
      <w:r>
        <w:rPr>
          <w:rFonts w:hint="eastAsia" w:hAnsi="宋体"/>
          <w:color w:val="auto"/>
          <w:sz w:val="21"/>
          <w:szCs w:val="21"/>
          <w:highlight w:val="none"/>
        </w:rPr>
        <w:t>要求：</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Ansi="宋体"/>
          <w:color w:val="auto"/>
          <w:sz w:val="21"/>
          <w:szCs w:val="21"/>
          <w:highlight w:val="none"/>
        </w:rPr>
      </w:pPr>
      <w:r>
        <w:rPr>
          <w:rFonts w:hint="eastAsia" w:hAnsi="宋体"/>
          <w:color w:val="auto"/>
          <w:sz w:val="21"/>
          <w:szCs w:val="21"/>
          <w:highlight w:val="none"/>
        </w:rPr>
        <w:t>1.“磋商文件要求”见磋商文件“商务需求书”，“响应文件响应情况”是指供应商的投报情况。</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hAnsi="宋体"/>
          <w:bCs/>
          <w:color w:val="auto"/>
          <w:sz w:val="21"/>
          <w:szCs w:val="21"/>
          <w:highlight w:val="none"/>
        </w:rPr>
        <w:t>偏离情况</w:t>
      </w:r>
      <w:r>
        <w:rPr>
          <w:rFonts w:hint="eastAsia" w:hAnsi="宋体"/>
          <w:color w:val="auto"/>
          <w:sz w:val="21"/>
          <w:szCs w:val="21"/>
          <w:highlight w:val="none"/>
        </w:rPr>
        <w:t>”包括“完全响应”、“正偏离”、“负偏离”。</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color w:val="auto"/>
          <w:sz w:val="21"/>
          <w:szCs w:val="21"/>
          <w:highlight w:val="none"/>
        </w:rPr>
      </w:pP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overflowPunct w:val="0"/>
        <w:spacing w:line="460" w:lineRule="exact"/>
        <w:rPr>
          <w:rFonts w:hAnsi="宋体"/>
          <w:color w:val="auto"/>
          <w:sz w:val="22"/>
          <w:szCs w:val="22"/>
          <w:highlight w:val="none"/>
        </w:rPr>
      </w:pPr>
      <w:r>
        <w:rPr>
          <w:rFonts w:hint="eastAsia" w:hAnsi="宋体"/>
          <w:color w:val="auto"/>
          <w:sz w:val="21"/>
          <w:szCs w:val="21"/>
          <w:highlight w:val="none"/>
        </w:rPr>
        <w:t xml:space="preserve">日期：年月日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numPr>
          <w:ilvl w:val="0"/>
          <w:numId w:val="35"/>
        </w:numPr>
        <w:jc w:val="center"/>
        <w:rPr>
          <w:rFonts w:ascii="Calibri" w:hAnsi="Times New Roman"/>
          <w:color w:val="auto"/>
          <w:sz w:val="28"/>
          <w:szCs w:val="28"/>
          <w:highlight w:val="none"/>
        </w:rPr>
      </w:pPr>
      <w:bookmarkStart w:id="215" w:name="_Toc8299"/>
      <w:bookmarkStart w:id="216" w:name="_Toc31965"/>
      <w:bookmarkStart w:id="217" w:name="_Toc7897895"/>
      <w:r>
        <w:rPr>
          <w:rFonts w:hint="eastAsia" w:ascii="Calibri"/>
          <w:color w:val="auto"/>
          <w:sz w:val="28"/>
          <w:szCs w:val="28"/>
          <w:highlight w:val="none"/>
        </w:rPr>
        <w:t>磋商</w:t>
      </w:r>
      <w:r>
        <w:rPr>
          <w:rFonts w:hint="eastAsia" w:ascii="Calibri" w:hAnsi="Times New Roman"/>
          <w:color w:val="auto"/>
          <w:sz w:val="28"/>
          <w:szCs w:val="28"/>
          <w:highlight w:val="none"/>
        </w:rPr>
        <w:t>文件“★”号条款响应表</w:t>
      </w:r>
      <w:bookmarkEnd w:id="215"/>
    </w:p>
    <w:p>
      <w:pPr>
        <w:rPr>
          <w:rFonts w:hAnsi="宋体"/>
          <w:b/>
          <w:bCs/>
          <w:color w:val="auto"/>
          <w:highlight w:val="none"/>
        </w:rPr>
      </w:pPr>
    </w:p>
    <w:p>
      <w:pPr>
        <w:rPr>
          <w:rFonts w:hAnsi="宋体"/>
          <w:b/>
          <w:bCs/>
          <w:color w:val="auto"/>
          <w:highlight w:val="none"/>
        </w:rPr>
      </w:pPr>
    </w:p>
    <w:tbl>
      <w:tblPr>
        <w:tblStyle w:val="53"/>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66"/>
        <w:gridCol w:w="3371"/>
        <w:gridCol w:w="2113"/>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863" w:type="dxa"/>
            <w:vMerge w:val="restart"/>
            <w:vAlign w:val="center"/>
          </w:tcPr>
          <w:p>
            <w:pPr>
              <w:autoSpaceDE/>
              <w:autoSpaceDN/>
              <w:adjustRightInd/>
              <w:spacing w:before="120" w:after="120" w:line="360" w:lineRule="auto"/>
              <w:jc w:val="center"/>
              <w:rPr>
                <w:rFonts w:hAnsi="宋体"/>
                <w:color w:val="auto"/>
                <w:sz w:val="21"/>
                <w:szCs w:val="21"/>
                <w:highlight w:val="none"/>
              </w:rPr>
            </w:pPr>
            <w:r>
              <w:rPr>
                <w:rFonts w:hint="eastAsia" w:hAnsi="宋体"/>
                <w:color w:val="auto"/>
                <w:sz w:val="21"/>
                <w:szCs w:val="21"/>
                <w:highlight w:val="none"/>
              </w:rPr>
              <w:t>序号</w:t>
            </w:r>
          </w:p>
        </w:tc>
        <w:tc>
          <w:tcPr>
            <w:tcW w:w="4637" w:type="dxa"/>
            <w:gridSpan w:val="2"/>
            <w:vAlign w:val="center"/>
          </w:tcPr>
          <w:p>
            <w:pPr>
              <w:autoSpaceDE/>
              <w:autoSpaceDN/>
              <w:adjustRightInd/>
              <w:spacing w:before="120" w:after="120" w:line="360" w:lineRule="auto"/>
              <w:ind w:left="-122" w:leftChars="-51"/>
              <w:jc w:val="center"/>
              <w:rPr>
                <w:rFonts w:hAnsi="宋体"/>
                <w:color w:val="auto"/>
                <w:sz w:val="21"/>
                <w:szCs w:val="21"/>
                <w:highlight w:val="none"/>
              </w:rPr>
            </w:pPr>
            <w:r>
              <w:rPr>
                <w:rFonts w:hint="eastAsia" w:hAnsi="宋体"/>
                <w:color w:val="auto"/>
                <w:sz w:val="21"/>
                <w:szCs w:val="21"/>
                <w:highlight w:val="none"/>
              </w:rPr>
              <w:t>磋商文件“★”号条款要求</w:t>
            </w:r>
          </w:p>
        </w:tc>
        <w:tc>
          <w:tcPr>
            <w:tcW w:w="4192" w:type="dxa"/>
            <w:gridSpan w:val="2"/>
            <w:vAlign w:val="center"/>
          </w:tcPr>
          <w:p>
            <w:pPr>
              <w:autoSpaceDE/>
              <w:autoSpaceDN/>
              <w:adjustRightInd/>
              <w:spacing w:before="120" w:after="120" w:line="360" w:lineRule="auto"/>
              <w:ind w:left="-88"/>
              <w:jc w:val="center"/>
              <w:rPr>
                <w:rFonts w:hAnsi="宋体"/>
                <w:color w:val="auto"/>
                <w:sz w:val="21"/>
                <w:szCs w:val="21"/>
                <w:highlight w:val="none"/>
              </w:rPr>
            </w:pPr>
            <w:r>
              <w:rPr>
                <w:rFonts w:hint="eastAsia" w:hAnsi="宋体"/>
                <w:color w:val="auto"/>
                <w:sz w:val="21"/>
                <w:szCs w:val="21"/>
                <w:highlight w:val="none"/>
              </w:rPr>
              <w:t>磋商响应文件内容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863" w:type="dxa"/>
            <w:vMerge w:val="continue"/>
            <w:vAlign w:val="center"/>
          </w:tcPr>
          <w:p>
            <w:pPr>
              <w:keepNext/>
              <w:keepLines/>
              <w:autoSpaceDE/>
              <w:autoSpaceDN/>
              <w:adjustRightInd/>
              <w:spacing w:before="120" w:after="120" w:line="360" w:lineRule="auto"/>
              <w:ind w:left="629"/>
              <w:jc w:val="center"/>
              <w:outlineLvl w:val="0"/>
              <w:rPr>
                <w:rFonts w:hAnsi="宋体"/>
                <w:color w:val="auto"/>
                <w:sz w:val="21"/>
                <w:szCs w:val="21"/>
                <w:highlight w:val="none"/>
              </w:rPr>
            </w:pPr>
          </w:p>
        </w:tc>
        <w:tc>
          <w:tcPr>
            <w:tcW w:w="1266" w:type="dxa"/>
            <w:vAlign w:val="center"/>
          </w:tcPr>
          <w:p>
            <w:pPr>
              <w:autoSpaceDE/>
              <w:autoSpaceDN/>
              <w:adjustRightInd/>
              <w:spacing w:before="120" w:after="120" w:line="360" w:lineRule="auto"/>
              <w:jc w:val="center"/>
              <w:rPr>
                <w:rFonts w:hAnsi="宋体"/>
                <w:color w:val="auto"/>
                <w:sz w:val="21"/>
                <w:szCs w:val="21"/>
                <w:highlight w:val="none"/>
              </w:rPr>
            </w:pPr>
            <w:r>
              <w:rPr>
                <w:rFonts w:hint="eastAsia" w:hAnsi="宋体"/>
                <w:color w:val="auto"/>
                <w:sz w:val="21"/>
                <w:szCs w:val="21"/>
                <w:highlight w:val="none"/>
              </w:rPr>
              <w:t>条款号</w:t>
            </w:r>
          </w:p>
        </w:tc>
        <w:tc>
          <w:tcPr>
            <w:tcW w:w="3371" w:type="dxa"/>
            <w:vAlign w:val="center"/>
          </w:tcPr>
          <w:p>
            <w:pPr>
              <w:autoSpaceDE/>
              <w:autoSpaceDN/>
              <w:adjustRightInd/>
              <w:spacing w:before="120" w:after="120" w:line="360" w:lineRule="auto"/>
              <w:jc w:val="center"/>
              <w:rPr>
                <w:rFonts w:hAnsi="宋体"/>
                <w:color w:val="auto"/>
                <w:sz w:val="21"/>
                <w:szCs w:val="21"/>
                <w:highlight w:val="none"/>
              </w:rPr>
            </w:pPr>
            <w:r>
              <w:rPr>
                <w:rFonts w:hint="eastAsia" w:hAnsi="宋体"/>
                <w:color w:val="auto"/>
                <w:sz w:val="21"/>
                <w:szCs w:val="21"/>
                <w:highlight w:val="none"/>
              </w:rPr>
              <w:t>简要内容</w:t>
            </w:r>
          </w:p>
        </w:tc>
        <w:tc>
          <w:tcPr>
            <w:tcW w:w="2113" w:type="dxa"/>
            <w:vAlign w:val="center"/>
          </w:tcPr>
          <w:p>
            <w:pPr>
              <w:autoSpaceDE/>
              <w:autoSpaceDN/>
              <w:adjustRightInd/>
              <w:spacing w:before="120" w:after="120" w:line="360" w:lineRule="auto"/>
              <w:jc w:val="center"/>
              <w:rPr>
                <w:rFonts w:hAnsi="宋体"/>
                <w:color w:val="auto"/>
                <w:sz w:val="21"/>
                <w:szCs w:val="21"/>
                <w:highlight w:val="none"/>
              </w:rPr>
            </w:pPr>
            <w:r>
              <w:rPr>
                <w:rFonts w:hint="eastAsia" w:hAnsi="宋体"/>
                <w:color w:val="auto"/>
                <w:sz w:val="21"/>
                <w:szCs w:val="21"/>
                <w:highlight w:val="none"/>
              </w:rPr>
              <w:t>偏离情况</w:t>
            </w:r>
          </w:p>
        </w:tc>
        <w:tc>
          <w:tcPr>
            <w:tcW w:w="2079" w:type="dxa"/>
            <w:vAlign w:val="center"/>
          </w:tcPr>
          <w:p>
            <w:pPr>
              <w:autoSpaceDE/>
              <w:autoSpaceDN/>
              <w:adjustRightInd/>
              <w:spacing w:before="120" w:after="120" w:line="360" w:lineRule="auto"/>
              <w:jc w:val="center"/>
              <w:rPr>
                <w:rFonts w:hAnsi="宋体"/>
                <w:color w:val="auto"/>
                <w:sz w:val="21"/>
                <w:szCs w:val="21"/>
                <w:highlight w:val="none"/>
              </w:rPr>
            </w:pPr>
            <w:r>
              <w:rPr>
                <w:rFonts w:hint="eastAsia" w:hAnsi="宋体"/>
                <w:color w:val="auto"/>
                <w:sz w:val="21"/>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autoSpaceDE/>
              <w:autoSpaceDN/>
              <w:adjustRightInd/>
              <w:spacing w:before="120" w:after="120" w:line="360" w:lineRule="auto"/>
              <w:ind w:left="-108"/>
              <w:jc w:val="center"/>
              <w:rPr>
                <w:rFonts w:hAnsi="宋体"/>
                <w:color w:val="auto"/>
                <w:sz w:val="21"/>
                <w:szCs w:val="21"/>
                <w:highlight w:val="none"/>
              </w:rPr>
            </w:pPr>
            <w:r>
              <w:rPr>
                <w:rFonts w:hint="eastAsia" w:hAnsi="宋体"/>
                <w:color w:val="auto"/>
                <w:sz w:val="21"/>
                <w:szCs w:val="21"/>
                <w:highlight w:val="none"/>
              </w:rPr>
              <w:t>1</w:t>
            </w:r>
          </w:p>
        </w:tc>
        <w:tc>
          <w:tcPr>
            <w:tcW w:w="1266" w:type="dxa"/>
            <w:vAlign w:val="center"/>
          </w:tcPr>
          <w:p>
            <w:pPr>
              <w:spacing w:line="360" w:lineRule="auto"/>
              <w:jc w:val="center"/>
              <w:rPr>
                <w:rFonts w:hAnsi="宋体"/>
                <w:color w:val="auto"/>
                <w:sz w:val="21"/>
                <w:szCs w:val="21"/>
                <w:highlight w:val="none"/>
              </w:rPr>
            </w:pPr>
          </w:p>
          <w:p>
            <w:pPr>
              <w:spacing w:line="360" w:lineRule="auto"/>
              <w:jc w:val="center"/>
              <w:rPr>
                <w:rFonts w:hAnsi="宋体"/>
                <w:color w:val="auto"/>
                <w:sz w:val="21"/>
                <w:szCs w:val="21"/>
                <w:highlight w:val="none"/>
              </w:rPr>
            </w:pPr>
          </w:p>
          <w:p>
            <w:pPr>
              <w:spacing w:line="360" w:lineRule="auto"/>
              <w:jc w:val="center"/>
              <w:rPr>
                <w:rFonts w:hAnsi="宋体"/>
                <w:color w:val="auto"/>
                <w:sz w:val="21"/>
                <w:szCs w:val="21"/>
                <w:highlight w:val="none"/>
              </w:rPr>
            </w:pPr>
          </w:p>
          <w:p>
            <w:pPr>
              <w:spacing w:line="360" w:lineRule="auto"/>
              <w:jc w:val="center"/>
              <w:rPr>
                <w:rFonts w:hAnsi="宋体"/>
                <w:color w:val="auto"/>
                <w:sz w:val="21"/>
                <w:szCs w:val="21"/>
                <w:highlight w:val="none"/>
              </w:rPr>
            </w:pPr>
          </w:p>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vAlign w:val="center"/>
          </w:tcPr>
          <w:p>
            <w:pPr>
              <w:keepNext/>
              <w:keepLines/>
              <w:autoSpaceDE/>
              <w:autoSpaceDN/>
              <w:adjustRightInd/>
              <w:spacing w:before="120" w:after="120" w:line="360" w:lineRule="auto"/>
              <w:ind w:left="629"/>
              <w:jc w:val="center"/>
              <w:outlineLvl w:val="2"/>
              <w:rPr>
                <w:rFonts w:hAnsi="宋体"/>
                <w:color w:val="auto"/>
                <w:sz w:val="21"/>
                <w:szCs w:val="21"/>
                <w:highlight w:val="none"/>
              </w:rPr>
            </w:pPr>
          </w:p>
        </w:tc>
        <w:tc>
          <w:tcPr>
            <w:tcW w:w="2079" w:type="dxa"/>
            <w:vAlign w:val="center"/>
          </w:tcPr>
          <w:p>
            <w:pPr>
              <w:keepNext/>
              <w:keepLines/>
              <w:autoSpaceDE/>
              <w:autoSpaceDN/>
              <w:adjustRightInd/>
              <w:spacing w:before="120" w:after="120" w:line="360" w:lineRule="auto"/>
              <w:ind w:left="629"/>
              <w:jc w:val="center"/>
              <w:outlineLvl w:val="2"/>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autoSpaceDE/>
              <w:autoSpaceDN/>
              <w:adjustRightInd/>
              <w:spacing w:before="120" w:after="120" w:line="360" w:lineRule="auto"/>
              <w:ind w:left="-108"/>
              <w:jc w:val="center"/>
              <w:rPr>
                <w:rFonts w:hAnsi="宋体"/>
                <w:color w:val="auto"/>
                <w:sz w:val="21"/>
                <w:szCs w:val="21"/>
                <w:highlight w:val="none"/>
              </w:rPr>
            </w:pPr>
            <w:r>
              <w:rPr>
                <w:rFonts w:hint="eastAsia" w:hAnsi="宋体"/>
                <w:color w:val="auto"/>
                <w:sz w:val="21"/>
                <w:szCs w:val="21"/>
                <w:highlight w:val="none"/>
              </w:rPr>
              <w:t>2</w:t>
            </w: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629"/>
              <w:jc w:val="both"/>
              <w:outlineLvl w:val="2"/>
              <w:rPr>
                <w:rFonts w:hAnsi="宋体"/>
                <w:color w:val="auto"/>
                <w:sz w:val="21"/>
                <w:szCs w:val="21"/>
                <w:highlight w:val="none"/>
              </w:rPr>
            </w:pPr>
          </w:p>
        </w:tc>
        <w:tc>
          <w:tcPr>
            <w:tcW w:w="2079" w:type="dxa"/>
            <w:vAlign w:val="center"/>
          </w:tcPr>
          <w:p>
            <w:pPr>
              <w:keepNext/>
              <w:keepLines/>
              <w:autoSpaceDE/>
              <w:autoSpaceDN/>
              <w:adjustRightInd/>
              <w:spacing w:before="120" w:after="120" w:line="360" w:lineRule="auto"/>
              <w:ind w:left="629"/>
              <w:jc w:val="both"/>
              <w:outlineLvl w:val="2"/>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autoSpaceDE/>
              <w:autoSpaceDN/>
              <w:adjustRightInd/>
              <w:spacing w:before="120" w:after="120" w:line="360" w:lineRule="auto"/>
              <w:ind w:left="-122" w:leftChars="-51"/>
              <w:jc w:val="center"/>
              <w:rPr>
                <w:rFonts w:hAnsi="宋体"/>
                <w:color w:val="auto"/>
                <w:kern w:val="2"/>
                <w:sz w:val="21"/>
                <w:szCs w:val="21"/>
                <w:highlight w:val="none"/>
              </w:rPr>
            </w:pPr>
            <w:r>
              <w:rPr>
                <w:rFonts w:hint="eastAsia" w:hAnsi="宋体"/>
                <w:color w:val="auto"/>
                <w:kern w:val="2"/>
                <w:sz w:val="21"/>
                <w:szCs w:val="21"/>
                <w:highlight w:val="none"/>
              </w:rPr>
              <w:t>3</w:t>
            </w: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vAlign w:val="center"/>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autoSpaceDE/>
              <w:autoSpaceDN/>
              <w:adjustRightInd/>
              <w:spacing w:before="120" w:after="120" w:line="360" w:lineRule="auto"/>
              <w:ind w:left="-122" w:leftChars="-51"/>
              <w:jc w:val="center"/>
              <w:rPr>
                <w:rFonts w:hAnsi="宋体"/>
                <w:color w:val="auto"/>
                <w:kern w:val="2"/>
                <w:sz w:val="21"/>
                <w:szCs w:val="21"/>
                <w:highlight w:val="none"/>
              </w:rPr>
            </w:pPr>
            <w:r>
              <w:rPr>
                <w:rFonts w:hint="eastAsia" w:hAnsi="宋体"/>
                <w:color w:val="auto"/>
                <w:kern w:val="2"/>
                <w:sz w:val="21"/>
                <w:szCs w:val="21"/>
                <w:highlight w:val="none"/>
              </w:rPr>
              <w:t>……</w:t>
            </w: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vAlign w:val="center"/>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vAlign w:val="center"/>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vAlign w:val="center"/>
          </w:tcPr>
          <w:p>
            <w:pP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vAlign w:val="center"/>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63" w:type="dxa"/>
          </w:tcPr>
          <w:p>
            <w:pPr>
              <w:autoSpaceDE/>
              <w:autoSpaceDN/>
              <w:adjustRightInd/>
              <w:spacing w:before="120" w:after="120" w:line="360" w:lineRule="auto"/>
              <w:ind w:left="-122" w:leftChars="-51"/>
              <w:jc w:val="center"/>
              <w:rPr>
                <w:rFonts w:hAnsi="宋体"/>
                <w:color w:val="auto"/>
                <w:kern w:val="2"/>
                <w:sz w:val="21"/>
                <w:szCs w:val="21"/>
                <w:highlight w:val="none"/>
              </w:rPr>
            </w:pPr>
          </w:p>
        </w:tc>
        <w:tc>
          <w:tcPr>
            <w:tcW w:w="1266" w:type="dxa"/>
            <w:vAlign w:val="center"/>
          </w:tcPr>
          <w:p>
            <w:pPr>
              <w:spacing w:line="360" w:lineRule="auto"/>
              <w:jc w:val="center"/>
              <w:rPr>
                <w:rFonts w:hAnsi="宋体"/>
                <w:color w:val="auto"/>
                <w:sz w:val="21"/>
                <w:szCs w:val="21"/>
                <w:highlight w:val="none"/>
              </w:rPr>
            </w:pPr>
          </w:p>
        </w:tc>
        <w:tc>
          <w:tcPr>
            <w:tcW w:w="3371" w:type="dxa"/>
            <w:vAlign w:val="center"/>
          </w:tcPr>
          <w:p>
            <w:pPr>
              <w:spacing w:line="360" w:lineRule="auto"/>
              <w:jc w:val="center"/>
              <w:rPr>
                <w:rFonts w:hAnsi="宋体"/>
                <w:color w:val="auto"/>
                <w:sz w:val="21"/>
                <w:szCs w:val="21"/>
                <w:highlight w:val="none"/>
              </w:rPr>
            </w:pPr>
          </w:p>
        </w:tc>
        <w:tc>
          <w:tcPr>
            <w:tcW w:w="2113"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c>
          <w:tcPr>
            <w:tcW w:w="2079" w:type="dxa"/>
          </w:tcPr>
          <w:p>
            <w:pPr>
              <w:keepNext/>
              <w:keepLines/>
              <w:autoSpaceDE/>
              <w:autoSpaceDN/>
              <w:adjustRightInd/>
              <w:spacing w:before="120" w:after="120" w:line="360" w:lineRule="auto"/>
              <w:ind w:left="-122" w:leftChars="-51"/>
              <w:jc w:val="center"/>
              <w:outlineLvl w:val="2"/>
              <w:rPr>
                <w:rFonts w:hAnsi="宋体"/>
                <w:color w:val="auto"/>
                <w:kern w:val="2"/>
                <w:sz w:val="21"/>
                <w:szCs w:val="21"/>
                <w:highlight w:val="none"/>
              </w:rPr>
            </w:pPr>
          </w:p>
        </w:tc>
      </w:tr>
    </w:tbl>
    <w:p>
      <w:pPr>
        <w:autoSpaceDE/>
        <w:autoSpaceDN/>
        <w:adjustRightInd/>
        <w:spacing w:line="360" w:lineRule="auto"/>
        <w:ind w:left="565" w:leftChars="-59" w:hanging="707" w:hangingChars="337"/>
        <w:jc w:val="both"/>
        <w:rPr>
          <w:rFonts w:hAnsi="宋体"/>
          <w:b/>
          <w:color w:val="auto"/>
          <w:kern w:val="2"/>
          <w:sz w:val="21"/>
          <w:szCs w:val="21"/>
          <w:highlight w:val="none"/>
        </w:rPr>
      </w:pPr>
      <w:r>
        <w:rPr>
          <w:rFonts w:hint="eastAsia" w:hAnsi="宋体"/>
          <w:color w:val="auto"/>
          <w:kern w:val="2"/>
          <w:sz w:val="21"/>
          <w:szCs w:val="21"/>
          <w:highlight w:val="none"/>
        </w:rPr>
        <w:t>注：1、</w:t>
      </w:r>
      <w:r>
        <w:rPr>
          <w:rFonts w:hint="eastAsia" w:hAnsi="宋体"/>
          <w:b/>
          <w:color w:val="auto"/>
          <w:kern w:val="2"/>
          <w:sz w:val="21"/>
          <w:szCs w:val="21"/>
          <w:highlight w:val="none"/>
        </w:rPr>
        <w:t>供应商应按照磋商文件用户需求要求，逐条、如实地填写“偏离情况”项</w:t>
      </w:r>
      <w:r>
        <w:rPr>
          <w:rFonts w:hint="eastAsia" w:hAnsi="宋体"/>
          <w:color w:val="auto"/>
          <w:kern w:val="2"/>
          <w:sz w:val="21"/>
          <w:szCs w:val="21"/>
          <w:highlight w:val="none"/>
        </w:rPr>
        <w:t>。</w:t>
      </w:r>
      <w:r>
        <w:rPr>
          <w:rFonts w:hint="eastAsia" w:hAnsi="宋体"/>
          <w:b/>
          <w:color w:val="auto"/>
          <w:kern w:val="2"/>
          <w:sz w:val="21"/>
          <w:szCs w:val="21"/>
          <w:highlight w:val="none"/>
        </w:rPr>
        <w:t>“偏离情况”项为正偏离（或负偏离）的，必须在“具体偏离内容”项内详细说明与磋商文件的偏离内容，“偏离情况”项为无偏离的，在“具体偏离内容”项内填“无”。若发现此表未逐条填写或虚假填写本表，按无效磋商响应文件处理。</w:t>
      </w:r>
    </w:p>
    <w:p>
      <w:pPr>
        <w:autoSpaceDE/>
        <w:autoSpaceDN/>
        <w:adjustRightInd/>
        <w:spacing w:line="360" w:lineRule="auto"/>
        <w:ind w:left="561" w:leftChars="115" w:hanging="285" w:hangingChars="135"/>
        <w:jc w:val="both"/>
        <w:rPr>
          <w:rFonts w:hAnsi="宋体"/>
          <w:i/>
          <w:iCs/>
          <w:color w:val="auto"/>
          <w:sz w:val="21"/>
          <w:szCs w:val="21"/>
          <w:highlight w:val="none"/>
        </w:rPr>
      </w:pPr>
      <w:r>
        <w:rPr>
          <w:rFonts w:hint="eastAsia" w:hAnsi="宋体"/>
          <w:b/>
          <w:color w:val="auto"/>
          <w:kern w:val="2"/>
          <w:sz w:val="21"/>
          <w:szCs w:val="21"/>
          <w:highlight w:val="none"/>
        </w:rPr>
        <w:t>2、由供应商自行补充磋商文件所有“★”号条款内容（如有），标注“★”号条款均为必须完全满足指标，供应商须进行实质性响应，供应商若有一项带“★”的条款未响应或不满足，将按无效磋商处理。</w:t>
      </w: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rPr>
          <w:rFonts w:hAnsi="宋体"/>
          <w:color w:val="auto"/>
          <w:sz w:val="22"/>
          <w:szCs w:val="22"/>
          <w:highlight w:val="none"/>
        </w:rPr>
      </w:pPr>
      <w:r>
        <w:rPr>
          <w:rFonts w:hint="eastAsia" w:hAnsi="宋体"/>
          <w:color w:val="auto"/>
          <w:sz w:val="21"/>
          <w:szCs w:val="21"/>
          <w:highlight w:val="none"/>
        </w:rPr>
        <w:t>日期：年月日</w:t>
      </w:r>
    </w:p>
    <w:p>
      <w:pPr>
        <w:pStyle w:val="13"/>
        <w:ind w:firstLine="400"/>
        <w:rPr>
          <w:color w:val="auto"/>
          <w:highlight w:val="none"/>
        </w:rPr>
      </w:pPr>
    </w:p>
    <w:p>
      <w:pPr>
        <w:pStyle w:val="4"/>
        <w:numPr>
          <w:ilvl w:val="0"/>
          <w:numId w:val="35"/>
        </w:numPr>
        <w:jc w:val="center"/>
        <w:rPr>
          <w:color w:val="auto"/>
          <w:sz w:val="28"/>
          <w:szCs w:val="28"/>
          <w:highlight w:val="none"/>
        </w:rPr>
      </w:pPr>
      <w:bookmarkStart w:id="218" w:name="_Toc12735"/>
      <w:r>
        <w:rPr>
          <w:rFonts w:hint="eastAsia"/>
          <w:bCs/>
          <w:color w:val="auto"/>
          <w:sz w:val="28"/>
          <w:szCs w:val="28"/>
          <w:highlight w:val="none"/>
        </w:rPr>
        <w:t>供应商所获资质或奖项证书一览表</w:t>
      </w:r>
      <w:bookmarkEnd w:id="216"/>
      <w:bookmarkEnd w:id="217"/>
      <w:bookmarkEnd w:id="218"/>
    </w:p>
    <w:p>
      <w:pPr>
        <w:pStyle w:val="13"/>
        <w:tabs>
          <w:tab w:val="left" w:pos="8280"/>
        </w:tabs>
        <w:spacing w:line="480" w:lineRule="exact"/>
        <w:ind w:firstLine="482"/>
        <w:rPr>
          <w:rFonts w:hAnsi="宋体"/>
          <w:b/>
          <w:color w:val="auto"/>
          <w:sz w:val="24"/>
          <w:szCs w:val="21"/>
          <w:highlight w:val="none"/>
        </w:rPr>
      </w:pPr>
    </w:p>
    <w:tbl>
      <w:tblPr>
        <w:tblStyle w:val="53"/>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18"/>
        <w:gridCol w:w="2218"/>
        <w:gridCol w:w="186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0" w:firstLineChars="0"/>
              <w:jc w:val="both"/>
              <w:rPr>
                <w:rFonts w:ascii="Times New Roman" w:hAnsi="宋体"/>
                <w:b/>
                <w:bCs/>
                <w:color w:val="auto"/>
                <w:sz w:val="21"/>
                <w:szCs w:val="21"/>
                <w:highlight w:val="none"/>
              </w:rPr>
            </w:pPr>
            <w:r>
              <w:rPr>
                <w:rFonts w:hint="eastAsia" w:ascii="Times New Roman" w:hAnsi="宋体"/>
                <w:b/>
                <w:bCs/>
                <w:color w:val="auto"/>
                <w:sz w:val="21"/>
                <w:szCs w:val="21"/>
                <w:highlight w:val="none"/>
              </w:rPr>
              <w:t>序号</w:t>
            </w:r>
          </w:p>
        </w:tc>
        <w:tc>
          <w:tcPr>
            <w:tcW w:w="2218" w:type="dxa"/>
            <w:vAlign w:val="center"/>
          </w:tcPr>
          <w:p>
            <w:pPr>
              <w:pStyle w:val="13"/>
              <w:ind w:firstLine="422"/>
              <w:jc w:val="center"/>
              <w:rPr>
                <w:rFonts w:ascii="Times New Roman" w:hAnsi="宋体"/>
                <w:b/>
                <w:bCs/>
                <w:color w:val="auto"/>
                <w:sz w:val="21"/>
                <w:szCs w:val="21"/>
                <w:highlight w:val="none"/>
              </w:rPr>
            </w:pPr>
            <w:r>
              <w:rPr>
                <w:rFonts w:hint="eastAsia" w:ascii="Times New Roman" w:hAnsi="宋体"/>
                <w:b/>
                <w:bCs/>
                <w:color w:val="auto"/>
                <w:sz w:val="21"/>
                <w:szCs w:val="21"/>
                <w:highlight w:val="none"/>
              </w:rPr>
              <w:t>证书名称及等级</w:t>
            </w:r>
          </w:p>
        </w:tc>
        <w:tc>
          <w:tcPr>
            <w:tcW w:w="2218" w:type="dxa"/>
            <w:vAlign w:val="center"/>
          </w:tcPr>
          <w:p>
            <w:pPr>
              <w:pStyle w:val="13"/>
              <w:ind w:firstLine="422"/>
              <w:jc w:val="center"/>
              <w:rPr>
                <w:rFonts w:ascii="Times New Roman" w:hAnsi="宋体"/>
                <w:b/>
                <w:bCs/>
                <w:color w:val="auto"/>
                <w:sz w:val="21"/>
                <w:szCs w:val="21"/>
                <w:highlight w:val="none"/>
              </w:rPr>
            </w:pPr>
            <w:r>
              <w:rPr>
                <w:rFonts w:hint="eastAsia" w:ascii="Times New Roman" w:hAnsi="宋体"/>
                <w:b/>
                <w:bCs/>
                <w:color w:val="auto"/>
                <w:sz w:val="21"/>
                <w:szCs w:val="21"/>
                <w:highlight w:val="none"/>
              </w:rPr>
              <w:t>证书编号</w:t>
            </w:r>
          </w:p>
        </w:tc>
        <w:tc>
          <w:tcPr>
            <w:tcW w:w="1862" w:type="dxa"/>
            <w:vAlign w:val="center"/>
          </w:tcPr>
          <w:p>
            <w:pPr>
              <w:pStyle w:val="13"/>
              <w:ind w:firstLine="422"/>
              <w:jc w:val="center"/>
              <w:rPr>
                <w:rFonts w:ascii="Times New Roman" w:hAnsi="宋体"/>
                <w:b/>
                <w:bCs/>
                <w:color w:val="auto"/>
                <w:sz w:val="21"/>
                <w:szCs w:val="21"/>
                <w:highlight w:val="none"/>
              </w:rPr>
            </w:pPr>
            <w:r>
              <w:rPr>
                <w:rFonts w:hint="eastAsia" w:ascii="Times New Roman" w:hAnsi="宋体"/>
                <w:b/>
                <w:bCs/>
                <w:color w:val="auto"/>
                <w:sz w:val="21"/>
                <w:szCs w:val="21"/>
                <w:highlight w:val="none"/>
              </w:rPr>
              <w:t>发证单位</w:t>
            </w:r>
          </w:p>
        </w:tc>
        <w:tc>
          <w:tcPr>
            <w:tcW w:w="1529" w:type="dxa"/>
            <w:vAlign w:val="center"/>
          </w:tcPr>
          <w:p>
            <w:pPr>
              <w:pStyle w:val="13"/>
              <w:ind w:firstLine="422"/>
              <w:jc w:val="center"/>
              <w:rPr>
                <w:rFonts w:ascii="Times New Roman" w:hAnsi="宋体"/>
                <w:b/>
                <w:bCs/>
                <w:color w:val="auto"/>
                <w:sz w:val="21"/>
                <w:szCs w:val="21"/>
                <w:highlight w:val="none"/>
              </w:rPr>
            </w:pPr>
            <w:r>
              <w:rPr>
                <w:rFonts w:hint="eastAsia" w:ascii="Times New Roman" w:hAnsi="宋体"/>
                <w:b/>
                <w:bCs/>
                <w:color w:val="auto"/>
                <w:sz w:val="21"/>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2218" w:type="dxa"/>
            <w:vAlign w:val="center"/>
          </w:tcPr>
          <w:p>
            <w:pPr>
              <w:pStyle w:val="13"/>
              <w:ind w:firstLine="422"/>
              <w:jc w:val="center"/>
              <w:rPr>
                <w:rFonts w:ascii="Times New Roman" w:hAnsi="宋体"/>
                <w:b/>
                <w:bCs/>
                <w:color w:val="auto"/>
                <w:sz w:val="21"/>
                <w:szCs w:val="21"/>
                <w:highlight w:val="none"/>
              </w:rPr>
            </w:pPr>
          </w:p>
        </w:tc>
        <w:tc>
          <w:tcPr>
            <w:tcW w:w="1862" w:type="dxa"/>
            <w:vAlign w:val="center"/>
          </w:tcPr>
          <w:p>
            <w:pPr>
              <w:pStyle w:val="13"/>
              <w:ind w:firstLine="422"/>
              <w:jc w:val="center"/>
              <w:rPr>
                <w:rFonts w:ascii="Times New Roman" w:hAnsi="宋体"/>
                <w:b/>
                <w:bCs/>
                <w:color w:val="auto"/>
                <w:sz w:val="21"/>
                <w:szCs w:val="21"/>
                <w:highlight w:val="none"/>
              </w:rPr>
            </w:pPr>
          </w:p>
        </w:tc>
        <w:tc>
          <w:tcPr>
            <w:tcW w:w="1529" w:type="dxa"/>
            <w:vAlign w:val="center"/>
          </w:tcPr>
          <w:p>
            <w:pPr>
              <w:pStyle w:val="13"/>
              <w:ind w:firstLine="422"/>
              <w:jc w:val="center"/>
              <w:rPr>
                <w:rFonts w:ascii="Times New Roman" w:hAnsi="宋体"/>
                <w:b/>
                <w:bCs/>
                <w:color w:val="auto"/>
                <w:sz w:val="21"/>
                <w:szCs w:val="21"/>
                <w:highlight w:val="none"/>
              </w:rPr>
            </w:pPr>
          </w:p>
        </w:tc>
      </w:tr>
    </w:tbl>
    <w:p>
      <w:pP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 xml:space="preserve">日期：年月日 </w:t>
      </w:r>
    </w:p>
    <w:p>
      <w:pPr>
        <w:spacing w:line="480" w:lineRule="exact"/>
        <w:rPr>
          <w:rFonts w:hAnsi="宋体"/>
          <w:b/>
          <w:color w:val="auto"/>
          <w:szCs w:val="21"/>
          <w:highlight w:val="none"/>
          <w:u w:val="single"/>
        </w:rPr>
      </w:pPr>
    </w:p>
    <w:p>
      <w:pPr>
        <w:spacing w:line="480" w:lineRule="exact"/>
        <w:rPr>
          <w:rFonts w:hAnsi="宋体"/>
          <w:b/>
          <w:bCs/>
          <w:color w:val="auto"/>
          <w:szCs w:val="21"/>
          <w:highlight w:val="none"/>
        </w:rPr>
      </w:pPr>
    </w:p>
    <w:p>
      <w:pPr>
        <w:spacing w:line="480" w:lineRule="exact"/>
        <w:rPr>
          <w:rFonts w:hAnsi="宋体"/>
          <w:b/>
          <w:bCs/>
          <w:color w:val="auto"/>
          <w:szCs w:val="21"/>
          <w:highlight w:val="none"/>
        </w:rPr>
      </w:pPr>
    </w:p>
    <w:p>
      <w:pPr>
        <w:rPr>
          <w:color w:val="auto"/>
          <w:highlight w:val="none"/>
        </w:rPr>
      </w:pPr>
    </w:p>
    <w:p>
      <w:pPr>
        <w:pStyle w:val="4"/>
        <w:numPr>
          <w:ilvl w:val="0"/>
          <w:numId w:val="35"/>
        </w:numPr>
        <w:jc w:val="center"/>
        <w:rPr>
          <w:color w:val="auto"/>
          <w:sz w:val="28"/>
          <w:szCs w:val="28"/>
          <w:highlight w:val="none"/>
        </w:rPr>
      </w:pPr>
      <w:r>
        <w:rPr>
          <w:color w:val="auto"/>
          <w:highlight w:val="none"/>
        </w:rPr>
        <w:br w:type="page"/>
      </w:r>
      <w:bookmarkStart w:id="219" w:name="_Toc4539"/>
      <w:bookmarkStart w:id="220" w:name="_Toc7897896"/>
      <w:bookmarkStart w:id="221" w:name="_Toc4884"/>
      <w:r>
        <w:rPr>
          <w:rFonts w:hint="eastAsia"/>
          <w:bCs/>
          <w:color w:val="auto"/>
          <w:sz w:val="28"/>
          <w:szCs w:val="28"/>
          <w:highlight w:val="none"/>
        </w:rPr>
        <w:t>项目业绩一览表</w:t>
      </w:r>
      <w:bookmarkEnd w:id="219"/>
      <w:bookmarkEnd w:id="220"/>
      <w:bookmarkEnd w:id="221"/>
    </w:p>
    <w:p>
      <w:pPr>
        <w:pStyle w:val="28"/>
        <w:spacing w:line="480" w:lineRule="exact"/>
        <w:jc w:val="center"/>
        <w:rPr>
          <w:rFonts w:hAnsi="宋体"/>
          <w:b/>
          <w:color w:val="auto"/>
          <w:sz w:val="22"/>
          <w:szCs w:val="22"/>
          <w:highlight w:val="none"/>
        </w:rPr>
      </w:pPr>
    </w:p>
    <w:tbl>
      <w:tblPr>
        <w:tblStyle w:val="53"/>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225"/>
        <w:gridCol w:w="1365"/>
        <w:gridCol w:w="1721"/>
        <w:gridCol w:w="83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b/>
                <w:color w:val="auto"/>
                <w:sz w:val="21"/>
                <w:szCs w:val="21"/>
                <w:highlight w:val="none"/>
              </w:rPr>
            </w:pPr>
            <w:r>
              <w:rPr>
                <w:rFonts w:hint="eastAsia" w:hAnsi="宋体"/>
                <w:b/>
                <w:color w:val="auto"/>
                <w:sz w:val="21"/>
                <w:szCs w:val="21"/>
                <w:highlight w:val="none"/>
              </w:rPr>
              <w:t>序号</w:t>
            </w: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b/>
                <w:color w:val="auto"/>
                <w:sz w:val="21"/>
                <w:szCs w:val="21"/>
                <w:highlight w:val="none"/>
              </w:rPr>
            </w:pPr>
            <w:r>
              <w:rPr>
                <w:rFonts w:hint="eastAsia" w:hAnsi="宋体"/>
                <w:b/>
                <w:color w:val="auto"/>
                <w:sz w:val="21"/>
                <w:szCs w:val="21"/>
                <w:highlight w:val="none"/>
              </w:rPr>
              <w:t>项目名称</w:t>
            </w:r>
          </w:p>
        </w:tc>
        <w:tc>
          <w:tcPr>
            <w:tcW w:w="13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b/>
                <w:color w:val="auto"/>
                <w:sz w:val="21"/>
                <w:szCs w:val="21"/>
                <w:highlight w:val="none"/>
              </w:rPr>
            </w:pPr>
            <w:r>
              <w:rPr>
                <w:rFonts w:hint="eastAsia" w:hAnsi="宋体"/>
                <w:b/>
                <w:color w:val="auto"/>
                <w:sz w:val="21"/>
                <w:szCs w:val="21"/>
                <w:highlight w:val="none"/>
              </w:rPr>
              <w:t>用户单位</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b/>
                <w:color w:val="auto"/>
                <w:sz w:val="21"/>
                <w:szCs w:val="21"/>
                <w:highlight w:val="none"/>
              </w:rPr>
            </w:pPr>
            <w:r>
              <w:rPr>
                <w:rFonts w:hint="eastAsia" w:hAnsi="宋体"/>
                <w:b/>
                <w:color w:val="auto"/>
                <w:sz w:val="21"/>
                <w:szCs w:val="21"/>
                <w:highlight w:val="none"/>
              </w:rPr>
              <w:t>项目金额</w:t>
            </w:r>
          </w:p>
        </w:tc>
        <w:tc>
          <w:tcPr>
            <w:tcW w:w="8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b/>
                <w:color w:val="auto"/>
                <w:sz w:val="21"/>
                <w:szCs w:val="21"/>
                <w:highlight w:val="none"/>
              </w:rPr>
            </w:pPr>
            <w:r>
              <w:rPr>
                <w:rFonts w:hint="eastAsia" w:hAnsi="宋体"/>
                <w:b/>
                <w:color w:val="auto"/>
                <w:sz w:val="21"/>
                <w:szCs w:val="21"/>
                <w:highlight w:val="none"/>
              </w:rPr>
              <w:t>执行时间</w:t>
            </w:r>
          </w:p>
        </w:tc>
        <w:tc>
          <w:tcPr>
            <w:tcW w:w="8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b/>
                <w:color w:val="auto"/>
                <w:sz w:val="21"/>
                <w:szCs w:val="21"/>
                <w:highlight w:val="none"/>
              </w:rPr>
            </w:pPr>
            <w:r>
              <w:rPr>
                <w:rFonts w:hint="eastAsia" w:hAnsi="宋体"/>
                <w:b/>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Cs w:val="21"/>
                <w:highlight w:val="none"/>
              </w:rPr>
            </w:pPr>
            <w:r>
              <w:rPr>
                <w:rFonts w:hint="eastAsia" w:hAnsi="宋体"/>
                <w:color w:val="auto"/>
                <w:szCs w:val="21"/>
                <w:highlight w:val="none"/>
              </w:rPr>
              <w:t>1</w:t>
            </w:r>
          </w:p>
        </w:tc>
        <w:tc>
          <w:tcPr>
            <w:tcW w:w="322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Cs w:val="21"/>
                <w:highlight w:val="none"/>
              </w:rPr>
            </w:pPr>
            <w:r>
              <w:rPr>
                <w:rFonts w:hint="eastAsia" w:hAnsi="宋体"/>
                <w:color w:val="auto"/>
                <w:szCs w:val="21"/>
                <w:highlight w:val="none"/>
              </w:rPr>
              <w:t>2</w:t>
            </w:r>
          </w:p>
        </w:tc>
        <w:tc>
          <w:tcPr>
            <w:tcW w:w="322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Cs w:val="21"/>
                <w:highlight w:val="none"/>
              </w:rPr>
            </w:pPr>
            <w:r>
              <w:rPr>
                <w:rFonts w:hint="eastAsia" w:hAnsi="宋体"/>
                <w:color w:val="auto"/>
                <w:szCs w:val="21"/>
                <w:highlight w:val="none"/>
              </w:rPr>
              <w:t>3</w:t>
            </w:r>
          </w:p>
        </w:tc>
        <w:tc>
          <w:tcPr>
            <w:tcW w:w="322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Cs w:val="21"/>
                <w:highlight w:val="none"/>
              </w:rPr>
            </w:pPr>
            <w:r>
              <w:rPr>
                <w:rFonts w:hint="eastAsia" w:hAnsi="宋体"/>
                <w:color w:val="auto"/>
                <w:szCs w:val="21"/>
                <w:highlight w:val="none"/>
              </w:rPr>
              <w:t>…</w:t>
            </w:r>
          </w:p>
        </w:tc>
        <w:tc>
          <w:tcPr>
            <w:tcW w:w="322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36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1721"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5"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c>
          <w:tcPr>
            <w:tcW w:w="832" w:type="dxa"/>
            <w:tcBorders>
              <w:top w:val="single" w:color="auto" w:sz="4" w:space="0"/>
              <w:left w:val="single" w:color="auto" w:sz="4" w:space="0"/>
              <w:bottom w:val="single" w:color="auto" w:sz="4" w:space="0"/>
              <w:right w:val="single" w:color="auto" w:sz="4" w:space="0"/>
            </w:tcBorders>
          </w:tcPr>
          <w:p>
            <w:pPr>
              <w:snapToGrid w:val="0"/>
              <w:spacing w:line="360" w:lineRule="auto"/>
              <w:rPr>
                <w:rFonts w:hAnsi="宋体"/>
                <w:color w:val="auto"/>
                <w:sz w:val="21"/>
                <w:szCs w:val="21"/>
                <w:highlight w:val="none"/>
                <w:u w:val="single"/>
              </w:rPr>
            </w:pPr>
          </w:p>
        </w:tc>
      </w:tr>
    </w:tbl>
    <w:p>
      <w:pPr>
        <w:pStyle w:val="28"/>
        <w:spacing w:line="480" w:lineRule="exact"/>
        <w:rPr>
          <w:rFonts w:hAnsi="宋体"/>
          <w:color w:val="auto"/>
          <w:sz w:val="22"/>
          <w:szCs w:val="22"/>
          <w:highlight w:val="none"/>
        </w:rPr>
      </w:pPr>
    </w:p>
    <w:p>
      <w:pPr>
        <w:pStyle w:val="28"/>
        <w:spacing w:line="480" w:lineRule="exact"/>
        <w:rPr>
          <w:rFonts w:hAnsi="宋体"/>
          <w:color w:val="auto"/>
          <w:sz w:val="22"/>
          <w:szCs w:val="22"/>
          <w:highlight w:val="none"/>
        </w:rPr>
      </w:pPr>
      <w:r>
        <w:rPr>
          <w:rFonts w:hint="eastAsia" w:hAnsi="宋体"/>
          <w:color w:val="auto"/>
          <w:sz w:val="22"/>
          <w:szCs w:val="22"/>
          <w:highlight w:val="none"/>
        </w:rPr>
        <w:t>要求：</w:t>
      </w:r>
    </w:p>
    <w:p>
      <w:pPr>
        <w:pStyle w:val="28"/>
        <w:spacing w:line="480" w:lineRule="exact"/>
        <w:ind w:firstLine="440" w:firstLineChars="200"/>
        <w:rPr>
          <w:rFonts w:hAnsi="宋体"/>
          <w:color w:val="auto"/>
          <w:sz w:val="22"/>
          <w:szCs w:val="22"/>
          <w:highlight w:val="none"/>
        </w:rPr>
      </w:pPr>
      <w:r>
        <w:rPr>
          <w:rFonts w:hint="eastAsia" w:hAnsi="宋体"/>
          <w:color w:val="auto"/>
          <w:sz w:val="22"/>
          <w:szCs w:val="22"/>
          <w:highlight w:val="none"/>
        </w:rPr>
        <w:t>供应商应当如实、完整地填写本表格，内容包括所有同类或近似项目业绩。提供合同关键页等复印件（加盖供应商公章）。在填写过程中请按年份顺序填写。</w:t>
      </w:r>
    </w:p>
    <w:p>
      <w:pPr>
        <w:pStyle w:val="28"/>
        <w:spacing w:line="480" w:lineRule="exact"/>
        <w:rPr>
          <w:rFonts w:hAnsi="宋体"/>
          <w:color w:val="auto"/>
          <w:sz w:val="22"/>
          <w:szCs w:val="22"/>
          <w:highlight w:val="none"/>
        </w:rPr>
      </w:pPr>
    </w:p>
    <w:p>
      <w:pPr>
        <w:overflowPunct w:val="0"/>
        <w:spacing w:line="460" w:lineRule="exact"/>
        <w:rPr>
          <w:rFonts w:hAnsi="宋体"/>
          <w:color w:val="auto"/>
          <w:sz w:val="22"/>
          <w:szCs w:val="22"/>
          <w:highlight w:val="none"/>
        </w:rPr>
      </w:pPr>
      <w:r>
        <w:rPr>
          <w:rFonts w:hint="eastAsia" w:hAnsi="宋体"/>
          <w:color w:val="auto"/>
          <w:sz w:val="22"/>
          <w:szCs w:val="22"/>
          <w:highlight w:val="none"/>
        </w:rPr>
        <w:t>供应商名称（加盖公章）：</w:t>
      </w:r>
    </w:p>
    <w:p>
      <w:pPr>
        <w:overflowPunct w:val="0"/>
        <w:spacing w:line="460" w:lineRule="exact"/>
        <w:rPr>
          <w:rFonts w:hAnsi="宋体"/>
          <w:color w:val="auto"/>
          <w:sz w:val="22"/>
          <w:szCs w:val="22"/>
          <w:highlight w:val="none"/>
        </w:rPr>
      </w:pPr>
      <w:r>
        <w:rPr>
          <w:rFonts w:hint="eastAsia" w:hAnsi="宋体"/>
          <w:color w:val="auto"/>
          <w:sz w:val="22"/>
          <w:szCs w:val="22"/>
          <w:highlight w:val="none"/>
        </w:rPr>
        <w:t>供应商法定代表人或受委托人（签名或盖私章）：</w:t>
      </w:r>
    </w:p>
    <w:p>
      <w:pPr>
        <w:overflowPunct w:val="0"/>
        <w:spacing w:line="460" w:lineRule="exact"/>
        <w:rPr>
          <w:rFonts w:hAnsi="宋体"/>
          <w:color w:val="auto"/>
          <w:sz w:val="22"/>
          <w:szCs w:val="22"/>
          <w:highlight w:val="none"/>
        </w:rPr>
      </w:pPr>
      <w:r>
        <w:rPr>
          <w:rFonts w:hint="eastAsia" w:hAnsi="宋体"/>
          <w:color w:val="auto"/>
          <w:sz w:val="22"/>
          <w:szCs w:val="22"/>
          <w:highlight w:val="none"/>
        </w:rPr>
        <w:t xml:space="preserve">日期：年月日 </w:t>
      </w:r>
    </w:p>
    <w:p>
      <w:pPr>
        <w:pStyle w:val="4"/>
        <w:numPr>
          <w:ilvl w:val="0"/>
          <w:numId w:val="35"/>
        </w:numPr>
        <w:jc w:val="center"/>
        <w:rPr>
          <w:b w:val="0"/>
          <w:bCs/>
          <w:color w:val="auto"/>
          <w:sz w:val="28"/>
          <w:highlight w:val="none"/>
        </w:rPr>
      </w:pPr>
      <w:r>
        <w:rPr>
          <w:color w:val="auto"/>
          <w:sz w:val="22"/>
          <w:szCs w:val="22"/>
          <w:highlight w:val="none"/>
        </w:rPr>
        <w:br w:type="page"/>
      </w:r>
      <w:bookmarkStart w:id="222" w:name="_Toc17432"/>
      <w:bookmarkStart w:id="223" w:name="_Toc7897897"/>
      <w:bookmarkStart w:id="224" w:name="_Toc23633"/>
      <w:r>
        <w:rPr>
          <w:rFonts w:hint="eastAsia"/>
          <w:bCs/>
          <w:color w:val="auto"/>
          <w:sz w:val="28"/>
          <w:highlight w:val="none"/>
        </w:rPr>
        <w:t>在经营活动中没有重大违法记录的书面声明</w:t>
      </w:r>
      <w:bookmarkEnd w:id="222"/>
      <w:bookmarkEnd w:id="223"/>
      <w:bookmarkEnd w:id="224"/>
    </w:p>
    <w:p>
      <w:pPr>
        <w:pStyle w:val="75"/>
        <w:ind w:firstLine="0" w:firstLineChars="0"/>
        <w:jc w:val="center"/>
        <w:rPr>
          <w:rFonts w:ascii="宋体" w:eastAsia="宋体"/>
          <w:b/>
          <w:color w:val="auto"/>
          <w:sz w:val="28"/>
          <w:highlight w:val="none"/>
        </w:rPr>
      </w:pPr>
    </w:p>
    <w:p>
      <w:pPr>
        <w:spacing w:line="360" w:lineRule="auto"/>
        <w:rPr>
          <w:rFonts w:hAnsi="宋体"/>
          <w:color w:val="auto"/>
          <w:sz w:val="21"/>
          <w:szCs w:val="21"/>
          <w:highlight w:val="none"/>
          <w:u w:val="single"/>
        </w:rPr>
      </w:pPr>
      <w:r>
        <w:rPr>
          <w:rFonts w:hint="eastAsia" w:hAnsi="宋体"/>
          <w:color w:val="auto"/>
          <w:sz w:val="21"/>
          <w:szCs w:val="21"/>
          <w:highlight w:val="none"/>
        </w:rPr>
        <w:t>致：</w:t>
      </w:r>
    </w:p>
    <w:p>
      <w:pPr>
        <w:spacing w:line="360" w:lineRule="auto"/>
        <w:rPr>
          <w:rFonts w:hAnsi="宋体"/>
          <w:color w:val="auto"/>
          <w:sz w:val="21"/>
          <w:szCs w:val="21"/>
          <w:highlight w:val="none"/>
        </w:rPr>
      </w:pPr>
      <w:r>
        <w:rPr>
          <w:rFonts w:hint="eastAsia" w:hAnsi="宋体"/>
          <w:color w:val="auto"/>
          <w:sz w:val="21"/>
          <w:szCs w:val="21"/>
          <w:highlight w:val="none"/>
        </w:rPr>
        <w:t xml:space="preserve">        本公司参加采购项目（采购编号）的采购活动，并声明：</w:t>
      </w:r>
    </w:p>
    <w:p>
      <w:pPr>
        <w:spacing w:line="360" w:lineRule="auto"/>
        <w:rPr>
          <w:rFonts w:hAnsi="宋体"/>
          <w:color w:val="auto"/>
          <w:sz w:val="21"/>
          <w:szCs w:val="21"/>
          <w:highlight w:val="none"/>
        </w:rPr>
      </w:pPr>
      <w:r>
        <w:rPr>
          <w:rFonts w:hint="eastAsia" w:hAnsi="宋体"/>
          <w:color w:val="auto"/>
          <w:sz w:val="21"/>
          <w:szCs w:val="21"/>
          <w:highlight w:val="none"/>
        </w:rPr>
        <w:t xml:space="preserve">    本公司参加本采购项目采购前3年内在经营活动中没有因违法经营受到刑事处罚或者责令停产停业、吊销许可证或者执照、较大数额罚款等行政处罚。</w:t>
      </w:r>
    </w:p>
    <w:p>
      <w:pPr>
        <w:spacing w:line="360" w:lineRule="auto"/>
        <w:rPr>
          <w:rFonts w:hAnsi="宋体"/>
          <w:color w:val="auto"/>
          <w:sz w:val="21"/>
          <w:szCs w:val="21"/>
          <w:highlight w:val="none"/>
        </w:rPr>
      </w:pPr>
      <w:r>
        <w:rPr>
          <w:rFonts w:hint="eastAsia" w:hAnsi="宋体"/>
          <w:color w:val="auto"/>
          <w:sz w:val="21"/>
          <w:szCs w:val="21"/>
          <w:highlight w:val="none"/>
        </w:rPr>
        <w:t xml:space="preserve">    特此声明！</w:t>
      </w:r>
    </w:p>
    <w:p>
      <w:pPr>
        <w:rPr>
          <w:rFonts w:hAnsi="宋体"/>
          <w:color w:val="auto"/>
          <w:sz w:val="21"/>
          <w:szCs w:val="21"/>
          <w:highlight w:val="none"/>
        </w:rPr>
      </w:pPr>
    </w:p>
    <w:p>
      <w:pPr>
        <w:rPr>
          <w:rFonts w:hAnsi="宋体"/>
          <w:color w:val="auto"/>
          <w:sz w:val="21"/>
          <w:szCs w:val="21"/>
          <w:highlight w:val="none"/>
        </w:rPr>
      </w:pP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 xml:space="preserve">日期：年月日 </w:t>
      </w:r>
    </w:p>
    <w:bookmarkEnd w:id="189"/>
    <w:bookmarkEnd w:id="190"/>
    <w:bookmarkEnd w:id="191"/>
    <w:bookmarkEnd w:id="192"/>
    <w:bookmarkEnd w:id="193"/>
    <w:bookmarkEnd w:id="194"/>
    <w:bookmarkEnd w:id="195"/>
    <w:p>
      <w:pPr>
        <w:pStyle w:val="4"/>
        <w:numPr>
          <w:ilvl w:val="0"/>
          <w:numId w:val="35"/>
        </w:numPr>
        <w:jc w:val="center"/>
        <w:rPr>
          <w:b w:val="0"/>
          <w:color w:val="auto"/>
          <w:sz w:val="28"/>
          <w:szCs w:val="28"/>
          <w:highlight w:val="none"/>
        </w:rPr>
      </w:pPr>
      <w:bookmarkStart w:id="225" w:name="_Toc110953865"/>
      <w:bookmarkStart w:id="226" w:name="_Toc468157570"/>
      <w:bookmarkStart w:id="227" w:name="_Toc467987857"/>
      <w:bookmarkStart w:id="228" w:name="_Toc480010743"/>
      <w:bookmarkStart w:id="229" w:name="_Toc35233726"/>
      <w:bookmarkStart w:id="230" w:name="_Toc468606065"/>
      <w:bookmarkStart w:id="231" w:name="_Toc480171915"/>
      <w:bookmarkStart w:id="232" w:name="_Toc480020290"/>
      <w:bookmarkStart w:id="233" w:name="_Toc467236774"/>
      <w:bookmarkStart w:id="234" w:name="_Toc454701411"/>
      <w:bookmarkStart w:id="235" w:name="_Toc458262644"/>
      <w:bookmarkStart w:id="236" w:name="_Toc480021086"/>
      <w:bookmarkStart w:id="237" w:name="_Toc479991617"/>
      <w:r>
        <w:rPr>
          <w:color w:val="auto"/>
          <w:sz w:val="22"/>
          <w:szCs w:val="22"/>
          <w:highlight w:val="none"/>
        </w:rPr>
        <w:br w:type="page"/>
      </w:r>
      <w:bookmarkEnd w:id="225"/>
      <w:bookmarkStart w:id="238" w:name="_Toc7897900"/>
      <w:bookmarkStart w:id="239" w:name="_Toc8181"/>
      <w:bookmarkStart w:id="240" w:name="_Toc2461"/>
      <w:r>
        <w:rPr>
          <w:rFonts w:hint="eastAsia"/>
          <w:color w:val="auto"/>
          <w:sz w:val="28"/>
          <w:szCs w:val="28"/>
          <w:highlight w:val="none"/>
        </w:rPr>
        <w:t>针对本项目拟派人员及其技术资格一览表</w:t>
      </w:r>
      <w:bookmarkEnd w:id="238"/>
      <w:bookmarkEnd w:id="239"/>
      <w:bookmarkEnd w:id="240"/>
    </w:p>
    <w:p>
      <w:pPr>
        <w:pStyle w:val="28"/>
        <w:spacing w:line="480" w:lineRule="exact"/>
        <w:ind w:left="-202" w:leftChars="-84" w:firstLine="241" w:firstLineChars="100"/>
        <w:rPr>
          <w:rFonts w:hAnsi="宋体"/>
          <w:b/>
          <w:color w:val="auto"/>
          <w:sz w:val="24"/>
          <w:szCs w:val="21"/>
          <w:highlight w:val="none"/>
        </w:rPr>
      </w:pPr>
    </w:p>
    <w:p>
      <w:pPr>
        <w:pStyle w:val="28"/>
        <w:spacing w:line="480" w:lineRule="exact"/>
        <w:ind w:left="-202" w:leftChars="-84" w:firstLine="221" w:firstLineChars="100"/>
        <w:rPr>
          <w:rFonts w:hAnsi="宋体"/>
          <w:b/>
          <w:color w:val="auto"/>
          <w:sz w:val="22"/>
          <w:szCs w:val="22"/>
          <w:highlight w:val="none"/>
          <w:u w:val="single"/>
        </w:rPr>
      </w:pPr>
    </w:p>
    <w:tbl>
      <w:tblPr>
        <w:tblStyle w:val="53"/>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26"/>
        <w:gridCol w:w="877"/>
        <w:gridCol w:w="1533"/>
        <w:gridCol w:w="1357"/>
        <w:gridCol w:w="1200"/>
        <w:gridCol w:w="140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vAlign w:val="center"/>
          </w:tcPr>
          <w:p>
            <w:pPr>
              <w:pStyle w:val="28"/>
              <w:spacing w:line="480" w:lineRule="exact"/>
              <w:jc w:val="center"/>
              <w:rPr>
                <w:rFonts w:hAnsi="宋体"/>
                <w:b/>
                <w:color w:val="auto"/>
                <w:szCs w:val="21"/>
                <w:highlight w:val="none"/>
              </w:rPr>
            </w:pPr>
            <w:r>
              <w:rPr>
                <w:rFonts w:hint="eastAsia" w:hAnsi="宋体"/>
                <w:b/>
                <w:color w:val="auto"/>
                <w:szCs w:val="21"/>
                <w:highlight w:val="none"/>
              </w:rPr>
              <w:t>序号</w:t>
            </w:r>
          </w:p>
        </w:tc>
        <w:tc>
          <w:tcPr>
            <w:tcW w:w="1026" w:type="dxa"/>
            <w:vAlign w:val="center"/>
          </w:tcPr>
          <w:p>
            <w:pPr>
              <w:pStyle w:val="28"/>
              <w:spacing w:line="480" w:lineRule="exact"/>
              <w:jc w:val="center"/>
              <w:rPr>
                <w:rFonts w:hAnsi="宋体"/>
                <w:b/>
                <w:color w:val="auto"/>
                <w:szCs w:val="21"/>
                <w:highlight w:val="none"/>
              </w:rPr>
            </w:pPr>
            <w:r>
              <w:rPr>
                <w:rFonts w:hint="eastAsia" w:hAnsi="宋体"/>
                <w:b/>
                <w:color w:val="auto"/>
                <w:szCs w:val="21"/>
                <w:highlight w:val="none"/>
              </w:rPr>
              <w:t>姓名</w:t>
            </w:r>
          </w:p>
        </w:tc>
        <w:tc>
          <w:tcPr>
            <w:tcW w:w="877" w:type="dxa"/>
            <w:vAlign w:val="center"/>
          </w:tcPr>
          <w:p>
            <w:pPr>
              <w:pStyle w:val="28"/>
              <w:spacing w:line="480" w:lineRule="exact"/>
              <w:jc w:val="center"/>
              <w:rPr>
                <w:rFonts w:hAnsi="宋体"/>
                <w:b/>
                <w:color w:val="auto"/>
                <w:szCs w:val="21"/>
                <w:highlight w:val="none"/>
              </w:rPr>
            </w:pPr>
            <w:r>
              <w:rPr>
                <w:rFonts w:hint="eastAsia" w:hAnsi="宋体"/>
                <w:b/>
                <w:color w:val="auto"/>
                <w:szCs w:val="21"/>
                <w:highlight w:val="none"/>
              </w:rPr>
              <w:t>职位</w:t>
            </w:r>
          </w:p>
        </w:tc>
        <w:tc>
          <w:tcPr>
            <w:tcW w:w="1533" w:type="dxa"/>
          </w:tcPr>
          <w:p>
            <w:pPr>
              <w:pStyle w:val="28"/>
              <w:spacing w:line="480" w:lineRule="exact"/>
              <w:jc w:val="center"/>
              <w:rPr>
                <w:rFonts w:hAnsi="宋体"/>
                <w:b/>
                <w:color w:val="auto"/>
                <w:szCs w:val="21"/>
                <w:highlight w:val="none"/>
              </w:rPr>
            </w:pPr>
            <w:r>
              <w:rPr>
                <w:rFonts w:hint="eastAsia" w:hAnsi="宋体"/>
                <w:b/>
                <w:color w:val="auto"/>
                <w:szCs w:val="21"/>
                <w:highlight w:val="none"/>
              </w:rPr>
              <w:t>拟在本项目担任职务</w:t>
            </w:r>
          </w:p>
        </w:tc>
        <w:tc>
          <w:tcPr>
            <w:tcW w:w="1357" w:type="dxa"/>
            <w:vAlign w:val="center"/>
          </w:tcPr>
          <w:p>
            <w:pPr>
              <w:pStyle w:val="28"/>
              <w:spacing w:line="480" w:lineRule="exact"/>
              <w:jc w:val="center"/>
              <w:rPr>
                <w:rFonts w:hAnsi="宋体"/>
                <w:b/>
                <w:color w:val="auto"/>
                <w:szCs w:val="21"/>
                <w:highlight w:val="none"/>
              </w:rPr>
            </w:pPr>
            <w:r>
              <w:rPr>
                <w:rFonts w:hint="eastAsia" w:hAnsi="宋体"/>
                <w:b/>
                <w:color w:val="auto"/>
                <w:szCs w:val="21"/>
                <w:highlight w:val="none"/>
              </w:rPr>
              <w:t>专业、资格证件</w:t>
            </w:r>
          </w:p>
        </w:tc>
        <w:tc>
          <w:tcPr>
            <w:tcW w:w="1200" w:type="dxa"/>
            <w:vAlign w:val="center"/>
          </w:tcPr>
          <w:p>
            <w:pPr>
              <w:pStyle w:val="28"/>
              <w:spacing w:line="480" w:lineRule="exact"/>
              <w:jc w:val="center"/>
              <w:rPr>
                <w:rFonts w:hAnsi="宋体"/>
                <w:b/>
                <w:color w:val="auto"/>
                <w:szCs w:val="21"/>
                <w:highlight w:val="none"/>
              </w:rPr>
            </w:pPr>
            <w:r>
              <w:rPr>
                <w:rFonts w:hint="eastAsia" w:hAnsi="宋体"/>
                <w:b/>
                <w:color w:val="auto"/>
                <w:szCs w:val="21"/>
                <w:highlight w:val="none"/>
              </w:rPr>
              <w:t>发证时间</w:t>
            </w:r>
          </w:p>
        </w:tc>
        <w:tc>
          <w:tcPr>
            <w:tcW w:w="1403" w:type="dxa"/>
            <w:vAlign w:val="center"/>
          </w:tcPr>
          <w:p>
            <w:pPr>
              <w:pStyle w:val="28"/>
              <w:spacing w:line="480" w:lineRule="exact"/>
              <w:jc w:val="center"/>
              <w:rPr>
                <w:rFonts w:hAnsi="宋体"/>
                <w:b/>
                <w:color w:val="auto"/>
                <w:szCs w:val="21"/>
                <w:highlight w:val="none"/>
              </w:rPr>
            </w:pPr>
            <w:r>
              <w:rPr>
                <w:rFonts w:hint="eastAsia" w:hAnsi="宋体"/>
                <w:b/>
                <w:color w:val="auto"/>
                <w:szCs w:val="21"/>
                <w:highlight w:val="none"/>
              </w:rPr>
              <w:t>经验年限</w:t>
            </w:r>
          </w:p>
        </w:tc>
        <w:tc>
          <w:tcPr>
            <w:tcW w:w="1403" w:type="dxa"/>
          </w:tcPr>
          <w:p>
            <w:pPr>
              <w:pStyle w:val="28"/>
              <w:spacing w:line="480" w:lineRule="exact"/>
              <w:jc w:val="center"/>
              <w:rPr>
                <w:rFonts w:hAnsi="宋体"/>
                <w:b/>
                <w:color w:val="auto"/>
                <w:szCs w:val="21"/>
                <w:highlight w:val="none"/>
              </w:rPr>
            </w:pPr>
            <w:r>
              <w:rPr>
                <w:rFonts w:hint="eastAsia" w:hAnsi="宋体"/>
                <w:b/>
                <w:color w:val="auto"/>
                <w:szCs w:val="21"/>
                <w:highlight w:val="none"/>
              </w:rPr>
              <w:t>主要承担过的项目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8"/>
              <w:spacing w:line="480" w:lineRule="exact"/>
              <w:jc w:val="center"/>
              <w:rPr>
                <w:rFonts w:hAnsi="宋体"/>
                <w:color w:val="auto"/>
                <w:szCs w:val="21"/>
                <w:highlight w:val="none"/>
              </w:rPr>
            </w:pPr>
          </w:p>
        </w:tc>
        <w:tc>
          <w:tcPr>
            <w:tcW w:w="1026" w:type="dxa"/>
            <w:vAlign w:val="center"/>
          </w:tcPr>
          <w:p>
            <w:pPr>
              <w:pStyle w:val="28"/>
              <w:spacing w:line="480" w:lineRule="exact"/>
              <w:jc w:val="center"/>
              <w:rPr>
                <w:rFonts w:hAnsi="宋体"/>
                <w:color w:val="auto"/>
                <w:szCs w:val="21"/>
                <w:highlight w:val="none"/>
              </w:rPr>
            </w:pPr>
          </w:p>
        </w:tc>
        <w:tc>
          <w:tcPr>
            <w:tcW w:w="877" w:type="dxa"/>
            <w:vAlign w:val="center"/>
          </w:tcPr>
          <w:p>
            <w:pPr>
              <w:pStyle w:val="28"/>
              <w:spacing w:line="480" w:lineRule="exact"/>
              <w:jc w:val="center"/>
              <w:rPr>
                <w:rFonts w:hAnsi="宋体"/>
                <w:color w:val="auto"/>
                <w:szCs w:val="21"/>
                <w:highlight w:val="none"/>
              </w:rPr>
            </w:pPr>
          </w:p>
        </w:tc>
        <w:tc>
          <w:tcPr>
            <w:tcW w:w="1533" w:type="dxa"/>
          </w:tcPr>
          <w:p>
            <w:pPr>
              <w:pStyle w:val="28"/>
              <w:spacing w:line="480" w:lineRule="exact"/>
              <w:jc w:val="center"/>
              <w:rPr>
                <w:rFonts w:hAnsi="宋体"/>
                <w:color w:val="auto"/>
                <w:szCs w:val="21"/>
                <w:highlight w:val="none"/>
              </w:rPr>
            </w:pPr>
            <w:r>
              <w:rPr>
                <w:rFonts w:hint="eastAsia" w:hAnsi="宋体"/>
                <w:color w:val="auto"/>
                <w:szCs w:val="21"/>
                <w:highlight w:val="none"/>
              </w:rPr>
              <w:t>项目经理</w:t>
            </w:r>
          </w:p>
        </w:tc>
        <w:tc>
          <w:tcPr>
            <w:tcW w:w="1357" w:type="dxa"/>
            <w:vAlign w:val="center"/>
          </w:tcPr>
          <w:p>
            <w:pPr>
              <w:pStyle w:val="28"/>
              <w:spacing w:line="480" w:lineRule="exact"/>
              <w:jc w:val="center"/>
              <w:rPr>
                <w:rFonts w:hAnsi="宋体"/>
                <w:color w:val="auto"/>
                <w:szCs w:val="21"/>
                <w:highlight w:val="none"/>
              </w:rPr>
            </w:pPr>
          </w:p>
        </w:tc>
        <w:tc>
          <w:tcPr>
            <w:tcW w:w="1200" w:type="dxa"/>
            <w:vAlign w:val="center"/>
          </w:tcPr>
          <w:p>
            <w:pPr>
              <w:pStyle w:val="28"/>
              <w:spacing w:line="480" w:lineRule="exact"/>
              <w:jc w:val="center"/>
              <w:rPr>
                <w:rFonts w:hAnsi="宋体"/>
                <w:color w:val="auto"/>
                <w:szCs w:val="21"/>
                <w:highlight w:val="none"/>
              </w:rPr>
            </w:pPr>
          </w:p>
        </w:tc>
        <w:tc>
          <w:tcPr>
            <w:tcW w:w="1403" w:type="dxa"/>
            <w:vAlign w:val="center"/>
          </w:tcPr>
          <w:p>
            <w:pPr>
              <w:pStyle w:val="28"/>
              <w:spacing w:line="480" w:lineRule="exact"/>
              <w:jc w:val="center"/>
              <w:rPr>
                <w:rFonts w:hAnsi="宋体"/>
                <w:color w:val="auto"/>
                <w:szCs w:val="21"/>
                <w:highlight w:val="none"/>
              </w:rPr>
            </w:pPr>
          </w:p>
        </w:tc>
        <w:tc>
          <w:tcPr>
            <w:tcW w:w="1403" w:type="dxa"/>
          </w:tcPr>
          <w:p>
            <w:pPr>
              <w:pStyle w:val="28"/>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8"/>
              <w:spacing w:line="480" w:lineRule="exact"/>
              <w:jc w:val="center"/>
              <w:rPr>
                <w:rFonts w:hAnsi="宋体"/>
                <w:color w:val="auto"/>
                <w:szCs w:val="21"/>
                <w:highlight w:val="none"/>
              </w:rPr>
            </w:pPr>
          </w:p>
        </w:tc>
        <w:tc>
          <w:tcPr>
            <w:tcW w:w="1026" w:type="dxa"/>
            <w:vAlign w:val="center"/>
          </w:tcPr>
          <w:p>
            <w:pPr>
              <w:pStyle w:val="28"/>
              <w:spacing w:line="480" w:lineRule="exact"/>
              <w:jc w:val="center"/>
              <w:rPr>
                <w:rFonts w:hAnsi="宋体"/>
                <w:color w:val="auto"/>
                <w:szCs w:val="21"/>
                <w:highlight w:val="none"/>
              </w:rPr>
            </w:pPr>
          </w:p>
        </w:tc>
        <w:tc>
          <w:tcPr>
            <w:tcW w:w="877" w:type="dxa"/>
            <w:vAlign w:val="center"/>
          </w:tcPr>
          <w:p>
            <w:pPr>
              <w:pStyle w:val="28"/>
              <w:spacing w:line="480" w:lineRule="exact"/>
              <w:jc w:val="center"/>
              <w:rPr>
                <w:rFonts w:hAnsi="宋体"/>
                <w:color w:val="auto"/>
                <w:szCs w:val="21"/>
                <w:highlight w:val="none"/>
              </w:rPr>
            </w:pPr>
          </w:p>
        </w:tc>
        <w:tc>
          <w:tcPr>
            <w:tcW w:w="1533" w:type="dxa"/>
            <w:vAlign w:val="center"/>
          </w:tcPr>
          <w:p>
            <w:pPr>
              <w:jc w:val="center"/>
              <w:rPr>
                <w:rFonts w:hAnsi="宋体"/>
                <w:color w:val="auto"/>
                <w:sz w:val="21"/>
                <w:szCs w:val="21"/>
                <w:highlight w:val="none"/>
              </w:rPr>
            </w:pPr>
            <w:r>
              <w:rPr>
                <w:rFonts w:hint="eastAsia" w:hAnsi="宋体"/>
                <w:color w:val="auto"/>
                <w:sz w:val="21"/>
                <w:szCs w:val="21"/>
                <w:highlight w:val="none"/>
              </w:rPr>
              <w:t>项目人员</w:t>
            </w:r>
          </w:p>
        </w:tc>
        <w:tc>
          <w:tcPr>
            <w:tcW w:w="1357" w:type="dxa"/>
            <w:vAlign w:val="center"/>
          </w:tcPr>
          <w:p>
            <w:pPr>
              <w:pStyle w:val="28"/>
              <w:spacing w:line="480" w:lineRule="exact"/>
              <w:jc w:val="center"/>
              <w:rPr>
                <w:rFonts w:hAnsi="宋体"/>
                <w:color w:val="auto"/>
                <w:szCs w:val="21"/>
                <w:highlight w:val="none"/>
              </w:rPr>
            </w:pPr>
          </w:p>
        </w:tc>
        <w:tc>
          <w:tcPr>
            <w:tcW w:w="1200" w:type="dxa"/>
            <w:vAlign w:val="center"/>
          </w:tcPr>
          <w:p>
            <w:pPr>
              <w:pStyle w:val="28"/>
              <w:spacing w:line="480" w:lineRule="exact"/>
              <w:jc w:val="center"/>
              <w:rPr>
                <w:rFonts w:hAnsi="宋体"/>
                <w:color w:val="auto"/>
                <w:szCs w:val="21"/>
                <w:highlight w:val="none"/>
              </w:rPr>
            </w:pPr>
          </w:p>
        </w:tc>
        <w:tc>
          <w:tcPr>
            <w:tcW w:w="1403" w:type="dxa"/>
            <w:vAlign w:val="center"/>
          </w:tcPr>
          <w:p>
            <w:pPr>
              <w:pStyle w:val="28"/>
              <w:spacing w:line="480" w:lineRule="exact"/>
              <w:jc w:val="center"/>
              <w:rPr>
                <w:rFonts w:hAnsi="宋体"/>
                <w:color w:val="auto"/>
                <w:szCs w:val="21"/>
                <w:highlight w:val="none"/>
              </w:rPr>
            </w:pPr>
          </w:p>
        </w:tc>
        <w:tc>
          <w:tcPr>
            <w:tcW w:w="1403" w:type="dxa"/>
          </w:tcPr>
          <w:p>
            <w:pPr>
              <w:pStyle w:val="28"/>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8"/>
              <w:spacing w:line="480" w:lineRule="exact"/>
              <w:jc w:val="center"/>
              <w:rPr>
                <w:rFonts w:hAnsi="宋体"/>
                <w:color w:val="auto"/>
                <w:szCs w:val="21"/>
                <w:highlight w:val="none"/>
              </w:rPr>
            </w:pPr>
          </w:p>
        </w:tc>
        <w:tc>
          <w:tcPr>
            <w:tcW w:w="1026" w:type="dxa"/>
            <w:vAlign w:val="center"/>
          </w:tcPr>
          <w:p>
            <w:pPr>
              <w:pStyle w:val="28"/>
              <w:spacing w:line="480" w:lineRule="exact"/>
              <w:jc w:val="center"/>
              <w:rPr>
                <w:rFonts w:hAnsi="宋体"/>
                <w:color w:val="auto"/>
                <w:szCs w:val="21"/>
                <w:highlight w:val="none"/>
              </w:rPr>
            </w:pPr>
          </w:p>
        </w:tc>
        <w:tc>
          <w:tcPr>
            <w:tcW w:w="877" w:type="dxa"/>
            <w:vAlign w:val="center"/>
          </w:tcPr>
          <w:p>
            <w:pPr>
              <w:pStyle w:val="28"/>
              <w:spacing w:line="480" w:lineRule="exact"/>
              <w:jc w:val="center"/>
              <w:rPr>
                <w:rFonts w:hAnsi="宋体"/>
                <w:color w:val="auto"/>
                <w:szCs w:val="21"/>
                <w:highlight w:val="none"/>
              </w:rPr>
            </w:pPr>
          </w:p>
        </w:tc>
        <w:tc>
          <w:tcPr>
            <w:tcW w:w="1533" w:type="dxa"/>
          </w:tcPr>
          <w:p>
            <w:pPr>
              <w:pStyle w:val="28"/>
              <w:spacing w:line="480" w:lineRule="exact"/>
              <w:jc w:val="center"/>
              <w:rPr>
                <w:rFonts w:hAnsi="宋体"/>
                <w:color w:val="auto"/>
                <w:szCs w:val="21"/>
                <w:highlight w:val="none"/>
              </w:rPr>
            </w:pPr>
            <w:r>
              <w:rPr>
                <w:rFonts w:hint="eastAsia" w:hAnsi="宋体"/>
                <w:color w:val="auto"/>
                <w:szCs w:val="21"/>
                <w:highlight w:val="none"/>
              </w:rPr>
              <w:t>…</w:t>
            </w:r>
          </w:p>
        </w:tc>
        <w:tc>
          <w:tcPr>
            <w:tcW w:w="1357" w:type="dxa"/>
            <w:vAlign w:val="center"/>
          </w:tcPr>
          <w:p>
            <w:pPr>
              <w:pStyle w:val="28"/>
              <w:spacing w:line="480" w:lineRule="exact"/>
              <w:jc w:val="center"/>
              <w:rPr>
                <w:rFonts w:hAnsi="宋体"/>
                <w:color w:val="auto"/>
                <w:szCs w:val="21"/>
                <w:highlight w:val="none"/>
              </w:rPr>
            </w:pPr>
          </w:p>
        </w:tc>
        <w:tc>
          <w:tcPr>
            <w:tcW w:w="1200" w:type="dxa"/>
            <w:vAlign w:val="center"/>
          </w:tcPr>
          <w:p>
            <w:pPr>
              <w:pStyle w:val="28"/>
              <w:spacing w:line="480" w:lineRule="exact"/>
              <w:jc w:val="center"/>
              <w:rPr>
                <w:rFonts w:hAnsi="宋体"/>
                <w:color w:val="auto"/>
                <w:szCs w:val="21"/>
                <w:highlight w:val="none"/>
              </w:rPr>
            </w:pPr>
          </w:p>
        </w:tc>
        <w:tc>
          <w:tcPr>
            <w:tcW w:w="1403" w:type="dxa"/>
            <w:vAlign w:val="center"/>
          </w:tcPr>
          <w:p>
            <w:pPr>
              <w:pStyle w:val="28"/>
              <w:spacing w:line="480" w:lineRule="exact"/>
              <w:jc w:val="center"/>
              <w:rPr>
                <w:rFonts w:hAnsi="宋体"/>
                <w:color w:val="auto"/>
                <w:szCs w:val="21"/>
                <w:highlight w:val="none"/>
              </w:rPr>
            </w:pPr>
          </w:p>
        </w:tc>
        <w:tc>
          <w:tcPr>
            <w:tcW w:w="1403" w:type="dxa"/>
          </w:tcPr>
          <w:p>
            <w:pPr>
              <w:pStyle w:val="28"/>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8"/>
              <w:spacing w:line="480" w:lineRule="exact"/>
              <w:jc w:val="center"/>
              <w:rPr>
                <w:rFonts w:hAnsi="宋体"/>
                <w:color w:val="auto"/>
                <w:szCs w:val="21"/>
                <w:highlight w:val="none"/>
              </w:rPr>
            </w:pPr>
          </w:p>
        </w:tc>
        <w:tc>
          <w:tcPr>
            <w:tcW w:w="1026" w:type="dxa"/>
            <w:vAlign w:val="center"/>
          </w:tcPr>
          <w:p>
            <w:pPr>
              <w:pStyle w:val="28"/>
              <w:spacing w:line="480" w:lineRule="exact"/>
              <w:jc w:val="center"/>
              <w:rPr>
                <w:rFonts w:hAnsi="宋体"/>
                <w:color w:val="auto"/>
                <w:szCs w:val="21"/>
                <w:highlight w:val="none"/>
              </w:rPr>
            </w:pPr>
          </w:p>
        </w:tc>
        <w:tc>
          <w:tcPr>
            <w:tcW w:w="877" w:type="dxa"/>
            <w:vAlign w:val="center"/>
          </w:tcPr>
          <w:p>
            <w:pPr>
              <w:pStyle w:val="28"/>
              <w:spacing w:line="480" w:lineRule="exact"/>
              <w:jc w:val="center"/>
              <w:rPr>
                <w:rFonts w:hAnsi="宋体"/>
                <w:color w:val="auto"/>
                <w:szCs w:val="21"/>
                <w:highlight w:val="none"/>
              </w:rPr>
            </w:pPr>
          </w:p>
        </w:tc>
        <w:tc>
          <w:tcPr>
            <w:tcW w:w="1533" w:type="dxa"/>
          </w:tcPr>
          <w:p>
            <w:pPr>
              <w:pStyle w:val="28"/>
              <w:spacing w:line="480" w:lineRule="exact"/>
              <w:jc w:val="center"/>
              <w:rPr>
                <w:rFonts w:hAnsi="宋体"/>
                <w:color w:val="auto"/>
                <w:szCs w:val="21"/>
                <w:highlight w:val="none"/>
              </w:rPr>
            </w:pPr>
          </w:p>
        </w:tc>
        <w:tc>
          <w:tcPr>
            <w:tcW w:w="1357" w:type="dxa"/>
            <w:vAlign w:val="center"/>
          </w:tcPr>
          <w:p>
            <w:pPr>
              <w:pStyle w:val="28"/>
              <w:spacing w:line="480" w:lineRule="exact"/>
              <w:jc w:val="center"/>
              <w:rPr>
                <w:rFonts w:hAnsi="宋体"/>
                <w:color w:val="auto"/>
                <w:szCs w:val="21"/>
                <w:highlight w:val="none"/>
              </w:rPr>
            </w:pPr>
          </w:p>
        </w:tc>
        <w:tc>
          <w:tcPr>
            <w:tcW w:w="1200" w:type="dxa"/>
            <w:vAlign w:val="center"/>
          </w:tcPr>
          <w:p>
            <w:pPr>
              <w:pStyle w:val="28"/>
              <w:spacing w:line="480" w:lineRule="exact"/>
              <w:jc w:val="center"/>
              <w:rPr>
                <w:rFonts w:hAnsi="宋体"/>
                <w:color w:val="auto"/>
                <w:szCs w:val="21"/>
                <w:highlight w:val="none"/>
              </w:rPr>
            </w:pPr>
          </w:p>
        </w:tc>
        <w:tc>
          <w:tcPr>
            <w:tcW w:w="1403" w:type="dxa"/>
            <w:vAlign w:val="center"/>
          </w:tcPr>
          <w:p>
            <w:pPr>
              <w:pStyle w:val="28"/>
              <w:spacing w:line="480" w:lineRule="exact"/>
              <w:jc w:val="center"/>
              <w:rPr>
                <w:rFonts w:hAnsi="宋体"/>
                <w:color w:val="auto"/>
                <w:szCs w:val="21"/>
                <w:highlight w:val="none"/>
              </w:rPr>
            </w:pPr>
          </w:p>
        </w:tc>
        <w:tc>
          <w:tcPr>
            <w:tcW w:w="1403" w:type="dxa"/>
          </w:tcPr>
          <w:p>
            <w:pPr>
              <w:pStyle w:val="28"/>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8"/>
              <w:spacing w:line="480" w:lineRule="exact"/>
              <w:jc w:val="center"/>
              <w:rPr>
                <w:rFonts w:hAnsi="宋体"/>
                <w:color w:val="auto"/>
                <w:szCs w:val="21"/>
                <w:highlight w:val="none"/>
              </w:rPr>
            </w:pPr>
          </w:p>
        </w:tc>
        <w:tc>
          <w:tcPr>
            <w:tcW w:w="1026" w:type="dxa"/>
            <w:vAlign w:val="center"/>
          </w:tcPr>
          <w:p>
            <w:pPr>
              <w:pStyle w:val="28"/>
              <w:spacing w:line="480" w:lineRule="exact"/>
              <w:jc w:val="center"/>
              <w:rPr>
                <w:rFonts w:hAnsi="宋体"/>
                <w:color w:val="auto"/>
                <w:szCs w:val="21"/>
                <w:highlight w:val="none"/>
              </w:rPr>
            </w:pPr>
          </w:p>
        </w:tc>
        <w:tc>
          <w:tcPr>
            <w:tcW w:w="877" w:type="dxa"/>
            <w:vAlign w:val="center"/>
          </w:tcPr>
          <w:p>
            <w:pPr>
              <w:pStyle w:val="28"/>
              <w:spacing w:line="480" w:lineRule="exact"/>
              <w:jc w:val="center"/>
              <w:rPr>
                <w:rFonts w:hAnsi="宋体"/>
                <w:color w:val="auto"/>
                <w:szCs w:val="21"/>
                <w:highlight w:val="none"/>
              </w:rPr>
            </w:pPr>
          </w:p>
        </w:tc>
        <w:tc>
          <w:tcPr>
            <w:tcW w:w="1533" w:type="dxa"/>
          </w:tcPr>
          <w:p>
            <w:pPr>
              <w:pStyle w:val="28"/>
              <w:spacing w:line="480" w:lineRule="exact"/>
              <w:jc w:val="center"/>
              <w:rPr>
                <w:rFonts w:hAnsi="宋体"/>
                <w:color w:val="auto"/>
                <w:szCs w:val="21"/>
                <w:highlight w:val="none"/>
              </w:rPr>
            </w:pPr>
          </w:p>
        </w:tc>
        <w:tc>
          <w:tcPr>
            <w:tcW w:w="1357" w:type="dxa"/>
            <w:vAlign w:val="center"/>
          </w:tcPr>
          <w:p>
            <w:pPr>
              <w:pStyle w:val="28"/>
              <w:spacing w:line="480" w:lineRule="exact"/>
              <w:jc w:val="center"/>
              <w:rPr>
                <w:rFonts w:hAnsi="宋体"/>
                <w:color w:val="auto"/>
                <w:szCs w:val="21"/>
                <w:highlight w:val="none"/>
              </w:rPr>
            </w:pPr>
          </w:p>
        </w:tc>
        <w:tc>
          <w:tcPr>
            <w:tcW w:w="1200" w:type="dxa"/>
            <w:vAlign w:val="center"/>
          </w:tcPr>
          <w:p>
            <w:pPr>
              <w:pStyle w:val="28"/>
              <w:spacing w:line="480" w:lineRule="exact"/>
              <w:jc w:val="center"/>
              <w:rPr>
                <w:rFonts w:hAnsi="宋体"/>
                <w:color w:val="auto"/>
                <w:szCs w:val="21"/>
                <w:highlight w:val="none"/>
              </w:rPr>
            </w:pPr>
          </w:p>
        </w:tc>
        <w:tc>
          <w:tcPr>
            <w:tcW w:w="1403" w:type="dxa"/>
            <w:vAlign w:val="center"/>
          </w:tcPr>
          <w:p>
            <w:pPr>
              <w:pStyle w:val="28"/>
              <w:spacing w:line="480" w:lineRule="exact"/>
              <w:jc w:val="center"/>
              <w:rPr>
                <w:rFonts w:hAnsi="宋体"/>
                <w:color w:val="auto"/>
                <w:szCs w:val="21"/>
                <w:highlight w:val="none"/>
              </w:rPr>
            </w:pPr>
          </w:p>
        </w:tc>
        <w:tc>
          <w:tcPr>
            <w:tcW w:w="1403" w:type="dxa"/>
          </w:tcPr>
          <w:p>
            <w:pPr>
              <w:pStyle w:val="28"/>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8"/>
              <w:spacing w:line="480" w:lineRule="exact"/>
              <w:jc w:val="center"/>
              <w:rPr>
                <w:rFonts w:hAnsi="宋体"/>
                <w:color w:val="auto"/>
                <w:szCs w:val="21"/>
                <w:highlight w:val="none"/>
              </w:rPr>
            </w:pPr>
          </w:p>
        </w:tc>
        <w:tc>
          <w:tcPr>
            <w:tcW w:w="1026" w:type="dxa"/>
            <w:vAlign w:val="center"/>
          </w:tcPr>
          <w:p>
            <w:pPr>
              <w:pStyle w:val="28"/>
              <w:spacing w:line="480" w:lineRule="exact"/>
              <w:jc w:val="center"/>
              <w:rPr>
                <w:rFonts w:hAnsi="宋体"/>
                <w:color w:val="auto"/>
                <w:szCs w:val="21"/>
                <w:highlight w:val="none"/>
              </w:rPr>
            </w:pPr>
          </w:p>
        </w:tc>
        <w:tc>
          <w:tcPr>
            <w:tcW w:w="877" w:type="dxa"/>
            <w:vAlign w:val="center"/>
          </w:tcPr>
          <w:p>
            <w:pPr>
              <w:pStyle w:val="28"/>
              <w:spacing w:line="480" w:lineRule="exact"/>
              <w:jc w:val="center"/>
              <w:rPr>
                <w:rFonts w:hAnsi="宋体"/>
                <w:color w:val="auto"/>
                <w:szCs w:val="21"/>
                <w:highlight w:val="none"/>
              </w:rPr>
            </w:pPr>
          </w:p>
        </w:tc>
        <w:tc>
          <w:tcPr>
            <w:tcW w:w="1533" w:type="dxa"/>
          </w:tcPr>
          <w:p>
            <w:pPr>
              <w:pStyle w:val="28"/>
              <w:spacing w:line="480" w:lineRule="exact"/>
              <w:jc w:val="center"/>
              <w:rPr>
                <w:rFonts w:hAnsi="宋体"/>
                <w:color w:val="auto"/>
                <w:szCs w:val="21"/>
                <w:highlight w:val="none"/>
              </w:rPr>
            </w:pPr>
          </w:p>
        </w:tc>
        <w:tc>
          <w:tcPr>
            <w:tcW w:w="1357" w:type="dxa"/>
            <w:vAlign w:val="center"/>
          </w:tcPr>
          <w:p>
            <w:pPr>
              <w:pStyle w:val="28"/>
              <w:spacing w:line="480" w:lineRule="exact"/>
              <w:jc w:val="center"/>
              <w:rPr>
                <w:rFonts w:hAnsi="宋体"/>
                <w:color w:val="auto"/>
                <w:szCs w:val="21"/>
                <w:highlight w:val="none"/>
              </w:rPr>
            </w:pPr>
          </w:p>
        </w:tc>
        <w:tc>
          <w:tcPr>
            <w:tcW w:w="1200" w:type="dxa"/>
            <w:vAlign w:val="center"/>
          </w:tcPr>
          <w:p>
            <w:pPr>
              <w:pStyle w:val="28"/>
              <w:spacing w:line="480" w:lineRule="exact"/>
              <w:jc w:val="center"/>
              <w:rPr>
                <w:rFonts w:hAnsi="宋体"/>
                <w:color w:val="auto"/>
                <w:szCs w:val="21"/>
                <w:highlight w:val="none"/>
              </w:rPr>
            </w:pPr>
          </w:p>
        </w:tc>
        <w:tc>
          <w:tcPr>
            <w:tcW w:w="1403" w:type="dxa"/>
            <w:vAlign w:val="center"/>
          </w:tcPr>
          <w:p>
            <w:pPr>
              <w:pStyle w:val="28"/>
              <w:spacing w:line="480" w:lineRule="exact"/>
              <w:jc w:val="center"/>
              <w:rPr>
                <w:rFonts w:hAnsi="宋体"/>
                <w:color w:val="auto"/>
                <w:szCs w:val="21"/>
                <w:highlight w:val="none"/>
              </w:rPr>
            </w:pPr>
          </w:p>
        </w:tc>
        <w:tc>
          <w:tcPr>
            <w:tcW w:w="1403" w:type="dxa"/>
          </w:tcPr>
          <w:p>
            <w:pPr>
              <w:pStyle w:val="28"/>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534" w:type="dxa"/>
            <w:vAlign w:val="center"/>
          </w:tcPr>
          <w:p>
            <w:pPr>
              <w:pStyle w:val="28"/>
              <w:spacing w:line="480" w:lineRule="exact"/>
              <w:jc w:val="center"/>
              <w:rPr>
                <w:rFonts w:hAnsi="宋体"/>
                <w:color w:val="auto"/>
                <w:szCs w:val="21"/>
                <w:highlight w:val="none"/>
              </w:rPr>
            </w:pPr>
          </w:p>
        </w:tc>
        <w:tc>
          <w:tcPr>
            <w:tcW w:w="1026" w:type="dxa"/>
            <w:vAlign w:val="center"/>
          </w:tcPr>
          <w:p>
            <w:pPr>
              <w:pStyle w:val="28"/>
              <w:spacing w:line="480" w:lineRule="exact"/>
              <w:jc w:val="center"/>
              <w:rPr>
                <w:rFonts w:hAnsi="宋体"/>
                <w:color w:val="auto"/>
                <w:szCs w:val="21"/>
                <w:highlight w:val="none"/>
              </w:rPr>
            </w:pPr>
          </w:p>
        </w:tc>
        <w:tc>
          <w:tcPr>
            <w:tcW w:w="877" w:type="dxa"/>
            <w:vAlign w:val="center"/>
          </w:tcPr>
          <w:p>
            <w:pPr>
              <w:pStyle w:val="28"/>
              <w:spacing w:line="480" w:lineRule="exact"/>
              <w:jc w:val="center"/>
              <w:rPr>
                <w:rFonts w:hAnsi="宋体"/>
                <w:color w:val="auto"/>
                <w:szCs w:val="21"/>
                <w:highlight w:val="none"/>
              </w:rPr>
            </w:pPr>
          </w:p>
        </w:tc>
        <w:tc>
          <w:tcPr>
            <w:tcW w:w="1533" w:type="dxa"/>
          </w:tcPr>
          <w:p>
            <w:pPr>
              <w:pStyle w:val="28"/>
              <w:spacing w:line="480" w:lineRule="exact"/>
              <w:jc w:val="center"/>
              <w:rPr>
                <w:rFonts w:hAnsi="宋体"/>
                <w:color w:val="auto"/>
                <w:szCs w:val="21"/>
                <w:highlight w:val="none"/>
              </w:rPr>
            </w:pPr>
          </w:p>
        </w:tc>
        <w:tc>
          <w:tcPr>
            <w:tcW w:w="1357" w:type="dxa"/>
            <w:vAlign w:val="center"/>
          </w:tcPr>
          <w:p>
            <w:pPr>
              <w:pStyle w:val="28"/>
              <w:spacing w:line="480" w:lineRule="exact"/>
              <w:jc w:val="center"/>
              <w:rPr>
                <w:rFonts w:hAnsi="宋体"/>
                <w:color w:val="auto"/>
                <w:szCs w:val="21"/>
                <w:highlight w:val="none"/>
              </w:rPr>
            </w:pPr>
          </w:p>
        </w:tc>
        <w:tc>
          <w:tcPr>
            <w:tcW w:w="1200" w:type="dxa"/>
            <w:vAlign w:val="center"/>
          </w:tcPr>
          <w:p>
            <w:pPr>
              <w:pStyle w:val="28"/>
              <w:spacing w:line="480" w:lineRule="exact"/>
              <w:jc w:val="center"/>
              <w:rPr>
                <w:rFonts w:hAnsi="宋体"/>
                <w:color w:val="auto"/>
                <w:szCs w:val="21"/>
                <w:highlight w:val="none"/>
              </w:rPr>
            </w:pPr>
          </w:p>
        </w:tc>
        <w:tc>
          <w:tcPr>
            <w:tcW w:w="1403" w:type="dxa"/>
            <w:vAlign w:val="center"/>
          </w:tcPr>
          <w:p>
            <w:pPr>
              <w:pStyle w:val="28"/>
              <w:spacing w:line="480" w:lineRule="exact"/>
              <w:jc w:val="center"/>
              <w:rPr>
                <w:rFonts w:hAnsi="宋体"/>
                <w:color w:val="auto"/>
                <w:szCs w:val="21"/>
                <w:highlight w:val="none"/>
              </w:rPr>
            </w:pPr>
          </w:p>
        </w:tc>
        <w:tc>
          <w:tcPr>
            <w:tcW w:w="1403" w:type="dxa"/>
          </w:tcPr>
          <w:p>
            <w:pPr>
              <w:pStyle w:val="28"/>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8"/>
              <w:spacing w:line="480" w:lineRule="exact"/>
              <w:jc w:val="center"/>
              <w:rPr>
                <w:rFonts w:hAnsi="宋体"/>
                <w:color w:val="auto"/>
                <w:szCs w:val="21"/>
                <w:highlight w:val="none"/>
              </w:rPr>
            </w:pPr>
          </w:p>
        </w:tc>
        <w:tc>
          <w:tcPr>
            <w:tcW w:w="1026" w:type="dxa"/>
            <w:vAlign w:val="center"/>
          </w:tcPr>
          <w:p>
            <w:pPr>
              <w:pStyle w:val="28"/>
              <w:spacing w:line="480" w:lineRule="exact"/>
              <w:jc w:val="center"/>
              <w:rPr>
                <w:rFonts w:hAnsi="宋体"/>
                <w:color w:val="auto"/>
                <w:szCs w:val="21"/>
                <w:highlight w:val="none"/>
              </w:rPr>
            </w:pPr>
          </w:p>
        </w:tc>
        <w:tc>
          <w:tcPr>
            <w:tcW w:w="877" w:type="dxa"/>
            <w:vAlign w:val="center"/>
          </w:tcPr>
          <w:p>
            <w:pPr>
              <w:pStyle w:val="28"/>
              <w:spacing w:line="480" w:lineRule="exact"/>
              <w:jc w:val="center"/>
              <w:rPr>
                <w:rFonts w:hAnsi="宋体"/>
                <w:color w:val="auto"/>
                <w:szCs w:val="21"/>
                <w:highlight w:val="none"/>
              </w:rPr>
            </w:pPr>
          </w:p>
        </w:tc>
        <w:tc>
          <w:tcPr>
            <w:tcW w:w="1533" w:type="dxa"/>
          </w:tcPr>
          <w:p>
            <w:pPr>
              <w:pStyle w:val="28"/>
              <w:spacing w:line="480" w:lineRule="exact"/>
              <w:jc w:val="center"/>
              <w:rPr>
                <w:rFonts w:hAnsi="宋体"/>
                <w:color w:val="auto"/>
                <w:szCs w:val="21"/>
                <w:highlight w:val="none"/>
              </w:rPr>
            </w:pPr>
          </w:p>
        </w:tc>
        <w:tc>
          <w:tcPr>
            <w:tcW w:w="1357" w:type="dxa"/>
            <w:vAlign w:val="center"/>
          </w:tcPr>
          <w:p>
            <w:pPr>
              <w:pStyle w:val="28"/>
              <w:spacing w:line="480" w:lineRule="exact"/>
              <w:jc w:val="center"/>
              <w:rPr>
                <w:rFonts w:hAnsi="宋体"/>
                <w:color w:val="auto"/>
                <w:szCs w:val="21"/>
                <w:highlight w:val="none"/>
              </w:rPr>
            </w:pPr>
          </w:p>
        </w:tc>
        <w:tc>
          <w:tcPr>
            <w:tcW w:w="1200" w:type="dxa"/>
            <w:vAlign w:val="center"/>
          </w:tcPr>
          <w:p>
            <w:pPr>
              <w:pStyle w:val="28"/>
              <w:spacing w:line="480" w:lineRule="exact"/>
              <w:jc w:val="center"/>
              <w:rPr>
                <w:rFonts w:hAnsi="宋体"/>
                <w:color w:val="auto"/>
                <w:szCs w:val="21"/>
                <w:highlight w:val="none"/>
              </w:rPr>
            </w:pPr>
          </w:p>
        </w:tc>
        <w:tc>
          <w:tcPr>
            <w:tcW w:w="1403" w:type="dxa"/>
            <w:vAlign w:val="center"/>
          </w:tcPr>
          <w:p>
            <w:pPr>
              <w:pStyle w:val="28"/>
              <w:spacing w:line="480" w:lineRule="exact"/>
              <w:jc w:val="center"/>
              <w:rPr>
                <w:rFonts w:hAnsi="宋体"/>
                <w:color w:val="auto"/>
                <w:szCs w:val="21"/>
                <w:highlight w:val="none"/>
              </w:rPr>
            </w:pPr>
          </w:p>
        </w:tc>
        <w:tc>
          <w:tcPr>
            <w:tcW w:w="1403" w:type="dxa"/>
          </w:tcPr>
          <w:p>
            <w:pPr>
              <w:pStyle w:val="28"/>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8"/>
              <w:spacing w:line="480" w:lineRule="exact"/>
              <w:jc w:val="center"/>
              <w:rPr>
                <w:rFonts w:hAnsi="宋体"/>
                <w:color w:val="auto"/>
                <w:szCs w:val="21"/>
                <w:highlight w:val="none"/>
              </w:rPr>
            </w:pPr>
          </w:p>
        </w:tc>
        <w:tc>
          <w:tcPr>
            <w:tcW w:w="1026" w:type="dxa"/>
            <w:vAlign w:val="center"/>
          </w:tcPr>
          <w:p>
            <w:pPr>
              <w:pStyle w:val="28"/>
              <w:spacing w:line="480" w:lineRule="exact"/>
              <w:jc w:val="center"/>
              <w:rPr>
                <w:rFonts w:hAnsi="宋体"/>
                <w:color w:val="auto"/>
                <w:szCs w:val="21"/>
                <w:highlight w:val="none"/>
              </w:rPr>
            </w:pPr>
          </w:p>
        </w:tc>
        <w:tc>
          <w:tcPr>
            <w:tcW w:w="877" w:type="dxa"/>
            <w:vAlign w:val="center"/>
          </w:tcPr>
          <w:p>
            <w:pPr>
              <w:pStyle w:val="28"/>
              <w:spacing w:line="480" w:lineRule="exact"/>
              <w:jc w:val="center"/>
              <w:rPr>
                <w:rFonts w:hAnsi="宋体"/>
                <w:color w:val="auto"/>
                <w:szCs w:val="21"/>
                <w:highlight w:val="none"/>
              </w:rPr>
            </w:pPr>
          </w:p>
        </w:tc>
        <w:tc>
          <w:tcPr>
            <w:tcW w:w="1533" w:type="dxa"/>
          </w:tcPr>
          <w:p>
            <w:pPr>
              <w:pStyle w:val="28"/>
              <w:spacing w:line="480" w:lineRule="exact"/>
              <w:jc w:val="center"/>
              <w:rPr>
                <w:rFonts w:hAnsi="宋体"/>
                <w:color w:val="auto"/>
                <w:szCs w:val="21"/>
                <w:highlight w:val="none"/>
              </w:rPr>
            </w:pPr>
          </w:p>
        </w:tc>
        <w:tc>
          <w:tcPr>
            <w:tcW w:w="1357" w:type="dxa"/>
            <w:vAlign w:val="center"/>
          </w:tcPr>
          <w:p>
            <w:pPr>
              <w:pStyle w:val="28"/>
              <w:spacing w:line="480" w:lineRule="exact"/>
              <w:jc w:val="center"/>
              <w:rPr>
                <w:rFonts w:hAnsi="宋体"/>
                <w:color w:val="auto"/>
                <w:szCs w:val="21"/>
                <w:highlight w:val="none"/>
              </w:rPr>
            </w:pPr>
          </w:p>
        </w:tc>
        <w:tc>
          <w:tcPr>
            <w:tcW w:w="1200" w:type="dxa"/>
            <w:vAlign w:val="center"/>
          </w:tcPr>
          <w:p>
            <w:pPr>
              <w:pStyle w:val="28"/>
              <w:spacing w:line="480" w:lineRule="exact"/>
              <w:jc w:val="center"/>
              <w:rPr>
                <w:rFonts w:hAnsi="宋体"/>
                <w:color w:val="auto"/>
                <w:szCs w:val="21"/>
                <w:highlight w:val="none"/>
              </w:rPr>
            </w:pPr>
          </w:p>
        </w:tc>
        <w:tc>
          <w:tcPr>
            <w:tcW w:w="1403" w:type="dxa"/>
            <w:vAlign w:val="center"/>
          </w:tcPr>
          <w:p>
            <w:pPr>
              <w:pStyle w:val="28"/>
              <w:spacing w:line="480" w:lineRule="exact"/>
              <w:jc w:val="center"/>
              <w:rPr>
                <w:rFonts w:hAnsi="宋体"/>
                <w:color w:val="auto"/>
                <w:szCs w:val="21"/>
                <w:highlight w:val="none"/>
              </w:rPr>
            </w:pPr>
          </w:p>
        </w:tc>
        <w:tc>
          <w:tcPr>
            <w:tcW w:w="1403" w:type="dxa"/>
          </w:tcPr>
          <w:p>
            <w:pPr>
              <w:pStyle w:val="28"/>
              <w:spacing w:line="4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4" w:type="dxa"/>
            <w:vAlign w:val="center"/>
          </w:tcPr>
          <w:p>
            <w:pPr>
              <w:pStyle w:val="28"/>
              <w:spacing w:line="480" w:lineRule="exact"/>
              <w:jc w:val="center"/>
              <w:rPr>
                <w:rFonts w:hAnsi="宋体"/>
                <w:color w:val="auto"/>
                <w:szCs w:val="21"/>
                <w:highlight w:val="none"/>
              </w:rPr>
            </w:pPr>
          </w:p>
        </w:tc>
        <w:tc>
          <w:tcPr>
            <w:tcW w:w="1026" w:type="dxa"/>
            <w:vAlign w:val="center"/>
          </w:tcPr>
          <w:p>
            <w:pPr>
              <w:pStyle w:val="28"/>
              <w:spacing w:line="480" w:lineRule="exact"/>
              <w:jc w:val="center"/>
              <w:rPr>
                <w:rFonts w:hAnsi="宋体"/>
                <w:color w:val="auto"/>
                <w:szCs w:val="21"/>
                <w:highlight w:val="none"/>
              </w:rPr>
            </w:pPr>
          </w:p>
        </w:tc>
        <w:tc>
          <w:tcPr>
            <w:tcW w:w="877" w:type="dxa"/>
            <w:vAlign w:val="center"/>
          </w:tcPr>
          <w:p>
            <w:pPr>
              <w:pStyle w:val="28"/>
              <w:spacing w:line="480" w:lineRule="exact"/>
              <w:jc w:val="center"/>
              <w:rPr>
                <w:rFonts w:hAnsi="宋体"/>
                <w:color w:val="auto"/>
                <w:szCs w:val="21"/>
                <w:highlight w:val="none"/>
              </w:rPr>
            </w:pPr>
          </w:p>
        </w:tc>
        <w:tc>
          <w:tcPr>
            <w:tcW w:w="1533" w:type="dxa"/>
          </w:tcPr>
          <w:p>
            <w:pPr>
              <w:pStyle w:val="28"/>
              <w:spacing w:line="480" w:lineRule="exact"/>
              <w:jc w:val="center"/>
              <w:rPr>
                <w:rFonts w:hAnsi="宋体"/>
                <w:color w:val="auto"/>
                <w:szCs w:val="21"/>
                <w:highlight w:val="none"/>
              </w:rPr>
            </w:pPr>
          </w:p>
        </w:tc>
        <w:tc>
          <w:tcPr>
            <w:tcW w:w="1357" w:type="dxa"/>
            <w:vAlign w:val="center"/>
          </w:tcPr>
          <w:p>
            <w:pPr>
              <w:pStyle w:val="28"/>
              <w:spacing w:line="480" w:lineRule="exact"/>
              <w:jc w:val="center"/>
              <w:rPr>
                <w:rFonts w:hAnsi="宋体"/>
                <w:color w:val="auto"/>
                <w:szCs w:val="21"/>
                <w:highlight w:val="none"/>
              </w:rPr>
            </w:pPr>
          </w:p>
        </w:tc>
        <w:tc>
          <w:tcPr>
            <w:tcW w:w="1200" w:type="dxa"/>
            <w:vAlign w:val="center"/>
          </w:tcPr>
          <w:p>
            <w:pPr>
              <w:pStyle w:val="28"/>
              <w:spacing w:line="480" w:lineRule="exact"/>
              <w:jc w:val="center"/>
              <w:rPr>
                <w:rFonts w:hAnsi="宋体"/>
                <w:color w:val="auto"/>
                <w:szCs w:val="21"/>
                <w:highlight w:val="none"/>
              </w:rPr>
            </w:pPr>
          </w:p>
        </w:tc>
        <w:tc>
          <w:tcPr>
            <w:tcW w:w="1403" w:type="dxa"/>
            <w:vAlign w:val="center"/>
          </w:tcPr>
          <w:p>
            <w:pPr>
              <w:pStyle w:val="28"/>
              <w:spacing w:line="480" w:lineRule="exact"/>
              <w:jc w:val="center"/>
              <w:rPr>
                <w:rFonts w:hAnsi="宋体"/>
                <w:color w:val="auto"/>
                <w:szCs w:val="21"/>
                <w:highlight w:val="none"/>
              </w:rPr>
            </w:pPr>
          </w:p>
        </w:tc>
        <w:tc>
          <w:tcPr>
            <w:tcW w:w="1403" w:type="dxa"/>
          </w:tcPr>
          <w:p>
            <w:pPr>
              <w:pStyle w:val="28"/>
              <w:spacing w:line="480" w:lineRule="exact"/>
              <w:jc w:val="center"/>
              <w:rPr>
                <w:rFonts w:hAnsi="宋体"/>
                <w:color w:val="auto"/>
                <w:szCs w:val="21"/>
                <w:highlight w:val="none"/>
              </w:rPr>
            </w:pPr>
          </w:p>
        </w:tc>
      </w:tr>
    </w:tbl>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hAnsi="宋体"/>
          <w:color w:val="auto"/>
          <w:sz w:val="22"/>
          <w:szCs w:val="22"/>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rPr>
          <w:rFonts w:hAnsi="宋体"/>
          <w:color w:val="auto"/>
          <w:sz w:val="21"/>
          <w:szCs w:val="21"/>
          <w:highlight w:val="none"/>
        </w:rPr>
      </w:pPr>
      <w:r>
        <w:rPr>
          <w:rFonts w:hint="eastAsia" w:hAnsi="宋体"/>
          <w:color w:val="auto"/>
          <w:sz w:val="21"/>
          <w:szCs w:val="21"/>
          <w:highlight w:val="none"/>
        </w:rPr>
        <w:t>要求：</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Ansi="宋体"/>
          <w:color w:val="auto"/>
          <w:sz w:val="21"/>
          <w:szCs w:val="21"/>
          <w:highlight w:val="none"/>
        </w:rPr>
      </w:pPr>
      <w:r>
        <w:rPr>
          <w:rFonts w:hint="eastAsia" w:hAnsi="宋体"/>
          <w:color w:val="auto"/>
          <w:sz w:val="21"/>
          <w:szCs w:val="21"/>
          <w:highlight w:val="none"/>
        </w:rPr>
        <w:t>1.供应商可以根据本表格内容和实际情况制作本表格。</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20" w:firstLineChars="200"/>
        <w:rPr>
          <w:rFonts w:hAnsi="宋体"/>
          <w:color w:val="auto"/>
          <w:sz w:val="21"/>
          <w:szCs w:val="21"/>
          <w:highlight w:val="none"/>
        </w:rPr>
      </w:pPr>
      <w:r>
        <w:rPr>
          <w:rFonts w:hint="eastAsia" w:hAnsi="宋体"/>
          <w:color w:val="auto"/>
          <w:sz w:val="21"/>
          <w:szCs w:val="21"/>
          <w:highlight w:val="none"/>
        </w:rPr>
        <w:t>2.供应商应当在响应文件中提供评分标准中要求提供的资料。（上述文件均加盖供应商公章）</w:t>
      </w:r>
    </w:p>
    <w:p>
      <w:pPr>
        <w:pStyle w:val="21"/>
        <w:rPr>
          <w:rFonts w:hAnsi="宋体"/>
          <w:color w:val="auto"/>
          <w:sz w:val="21"/>
          <w:szCs w:val="21"/>
          <w:highlight w:val="none"/>
        </w:rPr>
      </w:pP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供应商名称（加盖公章）：</w:t>
      </w:r>
    </w:p>
    <w:p>
      <w:pPr>
        <w:overflowPunct w:val="0"/>
        <w:spacing w:line="460" w:lineRule="exact"/>
        <w:rPr>
          <w:rFonts w:hAnsi="宋体"/>
          <w:color w:val="auto"/>
          <w:sz w:val="21"/>
          <w:szCs w:val="21"/>
          <w:highlight w:val="none"/>
        </w:rPr>
      </w:pPr>
      <w:r>
        <w:rPr>
          <w:rFonts w:hint="eastAsia" w:hAnsi="宋体"/>
          <w:color w:val="auto"/>
          <w:sz w:val="21"/>
          <w:szCs w:val="21"/>
          <w:highlight w:val="none"/>
        </w:rPr>
        <w:t>供应商法定代表人或受委托人（签名或盖私章）：</w:t>
      </w:r>
    </w:p>
    <w:p>
      <w:pPr>
        <w:overflowPunct w:val="0"/>
        <w:spacing w:line="460" w:lineRule="exact"/>
        <w:rPr>
          <w:rFonts w:hAnsi="宋体"/>
          <w:color w:val="auto"/>
          <w:sz w:val="22"/>
          <w:szCs w:val="22"/>
          <w:highlight w:val="none"/>
        </w:rPr>
      </w:pPr>
      <w:r>
        <w:rPr>
          <w:rFonts w:hint="eastAsia" w:hAnsi="宋体"/>
          <w:color w:val="auto"/>
          <w:sz w:val="21"/>
          <w:szCs w:val="21"/>
          <w:highlight w:val="none"/>
        </w:rPr>
        <w:t>日期：年月日</w:t>
      </w:r>
    </w:p>
    <w:p>
      <w:pPr>
        <w:spacing w:line="480" w:lineRule="exact"/>
        <w:rPr>
          <w:rFonts w:hAnsi="宋体"/>
          <w:b/>
          <w:bCs/>
          <w:color w:val="auto"/>
          <w:szCs w:val="21"/>
          <w:highlight w:val="none"/>
          <w:u w:val="single"/>
        </w:rPr>
      </w:pPr>
    </w:p>
    <w:p>
      <w:pPr>
        <w:pStyle w:val="4"/>
        <w:numPr>
          <w:ilvl w:val="0"/>
          <w:numId w:val="35"/>
        </w:numPr>
        <w:jc w:val="center"/>
        <w:rPr>
          <w:bCs/>
          <w:color w:val="auto"/>
          <w:sz w:val="28"/>
          <w:szCs w:val="28"/>
          <w:highlight w:val="none"/>
        </w:rPr>
      </w:pPr>
      <w:r>
        <w:rPr>
          <w:bCs/>
          <w:color w:val="auto"/>
          <w:szCs w:val="21"/>
          <w:highlight w:val="none"/>
        </w:rPr>
        <w:br w:type="page"/>
      </w:r>
      <w:bookmarkEnd w:id="226"/>
      <w:bookmarkEnd w:id="227"/>
      <w:bookmarkEnd w:id="228"/>
      <w:bookmarkEnd w:id="229"/>
      <w:bookmarkEnd w:id="230"/>
      <w:bookmarkEnd w:id="231"/>
      <w:bookmarkEnd w:id="232"/>
      <w:bookmarkEnd w:id="233"/>
      <w:bookmarkEnd w:id="234"/>
      <w:bookmarkEnd w:id="235"/>
      <w:bookmarkEnd w:id="236"/>
      <w:bookmarkEnd w:id="237"/>
      <w:bookmarkStart w:id="241" w:name="_Toc13441"/>
      <w:r>
        <w:rPr>
          <w:rFonts w:hint="eastAsia"/>
          <w:bCs/>
          <w:color w:val="auto"/>
          <w:sz w:val="28"/>
          <w:szCs w:val="28"/>
          <w:highlight w:val="none"/>
        </w:rPr>
        <w:t>磋商保证金汇入情况说明（适用于转账、电汇方式）</w:t>
      </w:r>
      <w:bookmarkEnd w:id="241"/>
    </w:p>
    <w:p>
      <w:pPr>
        <w:spacing w:line="460" w:lineRule="exact"/>
        <w:rPr>
          <w:rFonts w:hAnsi="宋体"/>
          <w:b/>
          <w:bCs/>
          <w:color w:val="auto"/>
          <w:sz w:val="22"/>
          <w:szCs w:val="22"/>
          <w:highlight w:val="none"/>
        </w:rPr>
      </w:pPr>
    </w:p>
    <w:p>
      <w:pPr>
        <w:spacing w:line="460" w:lineRule="exact"/>
        <w:rPr>
          <w:rFonts w:hAnsi="宋体"/>
          <w:color w:val="auto"/>
          <w:sz w:val="21"/>
          <w:szCs w:val="21"/>
          <w:highlight w:val="none"/>
        </w:rPr>
      </w:pPr>
      <w:r>
        <w:rPr>
          <w:rFonts w:hint="eastAsia" w:hAnsi="宋体"/>
          <w:color w:val="auto"/>
          <w:sz w:val="21"/>
          <w:szCs w:val="21"/>
          <w:highlight w:val="none"/>
        </w:rPr>
        <w:t xml:space="preserve">广东泰通伟业工程咨询有限公司： </w:t>
      </w:r>
    </w:p>
    <w:p>
      <w:pPr>
        <w:spacing w:line="460" w:lineRule="exact"/>
        <w:ind w:firstLine="420" w:firstLineChars="200"/>
        <w:rPr>
          <w:rFonts w:hAnsi="宋体"/>
          <w:color w:val="auto"/>
          <w:sz w:val="21"/>
          <w:szCs w:val="21"/>
          <w:highlight w:val="none"/>
        </w:rPr>
      </w:pPr>
      <w:r>
        <w:rPr>
          <w:rFonts w:hint="eastAsia" w:hAnsi="宋体"/>
          <w:color w:val="auto"/>
          <w:sz w:val="21"/>
          <w:szCs w:val="21"/>
          <w:highlight w:val="none"/>
        </w:rPr>
        <w:t>本单位已按</w:t>
      </w:r>
      <w:r>
        <w:rPr>
          <w:rFonts w:hint="eastAsia" w:hAnsi="宋体"/>
          <w:color w:val="auto"/>
          <w:sz w:val="21"/>
          <w:szCs w:val="21"/>
          <w:highlight w:val="none"/>
          <w:u w:val="single"/>
        </w:rPr>
        <w:t xml:space="preserve">  （项目名称）   （</w:t>
      </w:r>
      <w:r>
        <w:rPr>
          <w:rFonts w:hint="eastAsia" w:hAnsi="宋体"/>
          <w:color w:val="auto"/>
          <w:sz w:val="21"/>
          <w:szCs w:val="21"/>
          <w:highlight w:val="none"/>
        </w:rPr>
        <w:t>采购编号：</w:t>
      </w:r>
      <w:r>
        <w:rPr>
          <w:rFonts w:hint="eastAsia" w:hAnsi="宋体"/>
          <w:color w:val="auto"/>
          <w:sz w:val="21"/>
          <w:szCs w:val="21"/>
          <w:highlight w:val="none"/>
          <w:u w:val="single"/>
        </w:rPr>
        <w:t xml:space="preserve">     ）</w:t>
      </w:r>
      <w:r>
        <w:rPr>
          <w:rFonts w:hint="eastAsia" w:hAnsi="宋体"/>
          <w:color w:val="auto"/>
          <w:sz w:val="21"/>
          <w:szCs w:val="21"/>
          <w:highlight w:val="none"/>
        </w:rPr>
        <w:t>的磋商文件要求，于年月日前以（付款形式）方式汇入指定帐户（帐户名称：，帐号：,开户银行：）。</w:t>
      </w:r>
    </w:p>
    <w:p>
      <w:pPr>
        <w:spacing w:line="460" w:lineRule="exact"/>
        <w:ind w:firstLine="420" w:firstLineChars="200"/>
        <w:rPr>
          <w:rFonts w:hAnsi="宋体"/>
          <w:color w:val="auto"/>
          <w:sz w:val="21"/>
          <w:szCs w:val="21"/>
          <w:highlight w:val="none"/>
        </w:rPr>
      </w:pPr>
      <w:r>
        <w:rPr>
          <w:rFonts w:hint="eastAsia" w:hAnsi="宋体"/>
          <w:color w:val="auto"/>
          <w:sz w:val="21"/>
          <w:szCs w:val="21"/>
          <w:highlight w:val="none"/>
        </w:rPr>
        <w:t>供应商磋商保证金的汇款情况：（详见附件－磋商保证金进帐单）汇出时间：年月日；</w:t>
      </w:r>
    </w:p>
    <w:p>
      <w:pPr>
        <w:spacing w:line="460" w:lineRule="exact"/>
        <w:ind w:firstLine="420" w:firstLineChars="200"/>
        <w:rPr>
          <w:rFonts w:hAnsi="宋体"/>
          <w:color w:val="auto"/>
          <w:sz w:val="21"/>
          <w:szCs w:val="21"/>
          <w:highlight w:val="none"/>
          <w:u w:val="single"/>
        </w:rPr>
      </w:pPr>
      <w:r>
        <w:rPr>
          <w:rFonts w:hint="eastAsia" w:hAnsi="宋体"/>
          <w:color w:val="auto"/>
          <w:sz w:val="21"/>
          <w:szCs w:val="21"/>
          <w:highlight w:val="none"/>
        </w:rPr>
        <w:t>汇款金额：（大写）人民币</w:t>
      </w:r>
      <w:r>
        <w:rPr>
          <w:rFonts w:hint="eastAsia" w:hAnsi="宋体"/>
          <w:color w:val="auto"/>
          <w:sz w:val="21"/>
          <w:szCs w:val="21"/>
          <w:highlight w:val="none"/>
          <w:u w:val="single"/>
        </w:rPr>
        <w:t xml:space="preserve">               元整</w:t>
      </w:r>
    </w:p>
    <w:p>
      <w:pPr>
        <w:spacing w:line="460" w:lineRule="exact"/>
        <w:ind w:firstLine="1365" w:firstLineChars="650"/>
        <w:rPr>
          <w:rFonts w:hAnsi="宋体"/>
          <w:color w:val="auto"/>
          <w:sz w:val="21"/>
          <w:szCs w:val="21"/>
          <w:highlight w:val="none"/>
          <w:u w:val="single"/>
        </w:rPr>
      </w:pPr>
      <w:r>
        <w:rPr>
          <w:rFonts w:hint="eastAsia" w:hAnsi="宋体"/>
          <w:color w:val="auto"/>
          <w:sz w:val="21"/>
          <w:szCs w:val="21"/>
          <w:highlight w:val="none"/>
        </w:rPr>
        <w:t>（小写）￥元。</w:t>
      </w:r>
    </w:p>
    <w:p>
      <w:pPr>
        <w:spacing w:line="460" w:lineRule="exact"/>
        <w:ind w:firstLine="420" w:firstLineChars="200"/>
        <w:rPr>
          <w:rFonts w:hAnsi="宋体"/>
          <w:color w:val="auto"/>
          <w:sz w:val="21"/>
          <w:szCs w:val="21"/>
          <w:highlight w:val="none"/>
          <w:u w:val="single"/>
        </w:rPr>
      </w:pPr>
      <w:r>
        <w:rPr>
          <w:rFonts w:hint="eastAsia" w:hAnsi="宋体"/>
          <w:color w:val="auto"/>
          <w:sz w:val="21"/>
          <w:szCs w:val="21"/>
          <w:highlight w:val="none"/>
        </w:rPr>
        <w:t>汇款帐户名称：</w:t>
      </w:r>
      <w:r>
        <w:rPr>
          <w:rFonts w:hint="eastAsia" w:hAnsi="宋体"/>
          <w:color w:val="auto"/>
          <w:sz w:val="21"/>
          <w:szCs w:val="21"/>
          <w:highlight w:val="none"/>
          <w:u w:val="single"/>
        </w:rPr>
        <w:t xml:space="preserve">  （必须是磋商时使用的单位名称）   </w:t>
      </w:r>
    </w:p>
    <w:p>
      <w:pPr>
        <w:spacing w:line="460" w:lineRule="exact"/>
        <w:ind w:firstLine="420" w:firstLineChars="200"/>
        <w:rPr>
          <w:rFonts w:hAnsi="宋体"/>
          <w:color w:val="auto"/>
          <w:sz w:val="21"/>
          <w:szCs w:val="21"/>
          <w:highlight w:val="none"/>
        </w:rPr>
      </w:pPr>
      <w:r>
        <w:rPr>
          <w:rFonts w:hint="eastAsia" w:hAnsi="宋体"/>
          <w:color w:val="auto"/>
          <w:sz w:val="21"/>
          <w:szCs w:val="21"/>
          <w:highlight w:val="none"/>
        </w:rPr>
        <w:t>帐    号：</w:t>
      </w:r>
      <w:r>
        <w:rPr>
          <w:rFonts w:hint="eastAsia" w:hAnsi="宋体"/>
          <w:color w:val="auto"/>
          <w:sz w:val="21"/>
          <w:szCs w:val="21"/>
          <w:highlight w:val="none"/>
          <w:u w:val="single"/>
        </w:rPr>
        <w:t xml:space="preserve">  （必须是磋商时使用的帐号）     </w:t>
      </w:r>
    </w:p>
    <w:p>
      <w:pPr>
        <w:spacing w:line="460" w:lineRule="exact"/>
        <w:ind w:firstLine="420" w:firstLineChars="200"/>
        <w:rPr>
          <w:rFonts w:hAnsi="宋体"/>
          <w:color w:val="auto"/>
          <w:sz w:val="21"/>
          <w:szCs w:val="21"/>
          <w:highlight w:val="none"/>
          <w:u w:val="single"/>
        </w:rPr>
      </w:pPr>
      <w:r>
        <w:rPr>
          <w:rFonts w:hint="eastAsia" w:hAnsi="宋体"/>
          <w:color w:val="auto"/>
          <w:sz w:val="21"/>
          <w:szCs w:val="21"/>
          <w:highlight w:val="none"/>
        </w:rPr>
        <w:t>开户银行：</w:t>
      </w:r>
      <w:r>
        <w:rPr>
          <w:rFonts w:hint="eastAsia" w:hAnsi="宋体"/>
          <w:color w:val="auto"/>
          <w:sz w:val="21"/>
          <w:szCs w:val="21"/>
          <w:highlight w:val="none"/>
          <w:u w:val="single"/>
        </w:rPr>
        <w:t xml:space="preserve">    银行   省    市          (分行/支行)    </w:t>
      </w:r>
    </w:p>
    <w:p>
      <w:pPr>
        <w:spacing w:line="460" w:lineRule="exact"/>
        <w:ind w:firstLine="420" w:firstLineChars="200"/>
        <w:rPr>
          <w:rFonts w:hAnsi="宋体"/>
          <w:color w:val="auto"/>
          <w:sz w:val="21"/>
          <w:szCs w:val="21"/>
          <w:highlight w:val="none"/>
        </w:rPr>
      </w:pPr>
      <w:r>
        <w:rPr>
          <w:rFonts w:hint="eastAsia" w:hAnsi="宋体"/>
          <w:color w:val="auto"/>
          <w:sz w:val="21"/>
          <w:szCs w:val="21"/>
          <w:highlight w:val="none"/>
        </w:rPr>
        <w:t>本单位谨承诺上述资料是正确、真实的，如因上述证明与事实不符导致的一切损失，本单位保证承担赔偿等一切法律责任。</w:t>
      </w:r>
    </w:p>
    <w:p>
      <w:pPr>
        <w:spacing w:line="460" w:lineRule="exact"/>
        <w:ind w:firstLine="420" w:firstLineChars="200"/>
        <w:rPr>
          <w:rFonts w:hAnsi="宋体"/>
          <w:color w:val="auto"/>
          <w:sz w:val="21"/>
          <w:szCs w:val="21"/>
          <w:highlight w:val="none"/>
        </w:rPr>
      </w:pPr>
      <w:r>
        <w:rPr>
          <w:rFonts w:hint="eastAsia" w:hAnsi="宋体"/>
          <w:color w:val="auto"/>
          <w:sz w:val="21"/>
          <w:szCs w:val="21"/>
          <w:highlight w:val="none"/>
        </w:rPr>
        <w:t>磋商保证金退回时，请按上述资料退回。</w:t>
      </w:r>
    </w:p>
    <w:p>
      <w:pPr>
        <w:spacing w:line="460" w:lineRule="exact"/>
        <w:rPr>
          <w:rFonts w:hAnsi="宋体"/>
          <w:b/>
          <w:bCs/>
          <w:color w:val="auto"/>
          <w:sz w:val="21"/>
          <w:szCs w:val="21"/>
          <w:highlight w:val="none"/>
        </w:rPr>
      </w:pPr>
    </w:p>
    <w:p>
      <w:pPr>
        <w:spacing w:line="460" w:lineRule="exact"/>
        <w:rPr>
          <w:rFonts w:hAnsi="宋体"/>
          <w:b/>
          <w:bCs/>
          <w:color w:val="auto"/>
          <w:sz w:val="21"/>
          <w:szCs w:val="21"/>
          <w:highlight w:val="none"/>
        </w:rPr>
      </w:pPr>
      <w:r>
        <w:rPr>
          <w:rFonts w:hint="eastAsia" w:hAnsi="宋体"/>
          <w:b/>
          <w:bCs/>
          <w:color w:val="auto"/>
          <w:sz w:val="21"/>
          <w:szCs w:val="21"/>
          <w:highlight w:val="none"/>
        </w:rPr>
        <w:t>附件：磋商保证金进帐单复印件（加盖公章）</w:t>
      </w:r>
    </w:p>
    <w:p>
      <w:pPr>
        <w:spacing w:line="460" w:lineRule="exact"/>
        <w:ind w:right="965" w:rightChars="402"/>
        <w:jc w:val="right"/>
        <w:rPr>
          <w:rFonts w:hAnsi="宋体"/>
          <w:color w:val="auto"/>
          <w:sz w:val="21"/>
          <w:szCs w:val="21"/>
          <w:highlight w:val="none"/>
        </w:rPr>
      </w:pPr>
      <w:r>
        <w:rPr>
          <w:rFonts w:hint="eastAsia" w:hAnsi="宋体"/>
          <w:color w:val="auto"/>
          <w:sz w:val="21"/>
          <w:szCs w:val="21"/>
          <w:highlight w:val="none"/>
        </w:rPr>
        <w:t>（公章）</w:t>
      </w:r>
    </w:p>
    <w:p>
      <w:pPr>
        <w:spacing w:line="460" w:lineRule="exact"/>
        <w:ind w:right="718" w:rightChars="299"/>
        <w:jc w:val="right"/>
        <w:rPr>
          <w:rFonts w:hAnsi="宋体"/>
          <w:color w:val="auto"/>
          <w:sz w:val="21"/>
          <w:szCs w:val="21"/>
          <w:highlight w:val="none"/>
        </w:rPr>
      </w:pPr>
      <w:r>
        <w:rPr>
          <w:rFonts w:hint="eastAsia" w:hAnsi="宋体"/>
          <w:color w:val="auto"/>
          <w:sz w:val="21"/>
          <w:szCs w:val="21"/>
          <w:highlight w:val="none"/>
        </w:rPr>
        <w:t>年   月   日</w:t>
      </w:r>
    </w:p>
    <w:p>
      <w:pPr>
        <w:spacing w:line="460" w:lineRule="exact"/>
        <w:rPr>
          <w:rFonts w:hAnsi="宋体"/>
          <w:color w:val="auto"/>
          <w:sz w:val="21"/>
          <w:szCs w:val="21"/>
          <w:highlight w:val="none"/>
        </w:rPr>
      </w:pPr>
      <w:r>
        <w:rPr>
          <w:rFonts w:hint="eastAsia" w:hAnsi="宋体"/>
          <w:color w:val="auto"/>
          <w:sz w:val="21"/>
          <w:szCs w:val="21"/>
          <w:highlight w:val="none"/>
        </w:rPr>
        <w:t xml:space="preserve">单位名称：           </w:t>
      </w:r>
    </w:p>
    <w:p>
      <w:pPr>
        <w:spacing w:line="460" w:lineRule="exact"/>
        <w:rPr>
          <w:rFonts w:hAnsi="宋体"/>
          <w:color w:val="auto"/>
          <w:sz w:val="21"/>
          <w:szCs w:val="21"/>
          <w:highlight w:val="none"/>
        </w:rPr>
      </w:pPr>
      <w:r>
        <w:rPr>
          <w:rFonts w:hint="eastAsia" w:hAnsi="宋体"/>
          <w:color w:val="auto"/>
          <w:sz w:val="21"/>
          <w:szCs w:val="21"/>
          <w:highlight w:val="none"/>
        </w:rPr>
        <w:t xml:space="preserve">单位地址：           </w:t>
      </w:r>
    </w:p>
    <w:p>
      <w:pPr>
        <w:spacing w:line="460" w:lineRule="exact"/>
        <w:rPr>
          <w:rFonts w:hAnsi="宋体"/>
          <w:color w:val="auto"/>
          <w:sz w:val="21"/>
          <w:szCs w:val="21"/>
          <w:highlight w:val="none"/>
        </w:rPr>
      </w:pPr>
      <w:r>
        <w:rPr>
          <w:rFonts w:hint="eastAsia" w:hAnsi="宋体"/>
          <w:color w:val="auto"/>
          <w:sz w:val="21"/>
          <w:szCs w:val="21"/>
          <w:highlight w:val="none"/>
        </w:rPr>
        <w:t xml:space="preserve">联系人：                   </w:t>
      </w:r>
    </w:p>
    <w:p>
      <w:pPr>
        <w:spacing w:line="460" w:lineRule="exact"/>
        <w:rPr>
          <w:rFonts w:hAnsi="宋体"/>
          <w:color w:val="auto"/>
          <w:sz w:val="21"/>
          <w:szCs w:val="21"/>
          <w:highlight w:val="none"/>
        </w:rPr>
      </w:pPr>
      <w:r>
        <w:rPr>
          <w:rFonts w:hint="eastAsia" w:hAnsi="宋体"/>
          <w:color w:val="auto"/>
          <w:sz w:val="21"/>
          <w:szCs w:val="21"/>
          <w:highlight w:val="none"/>
        </w:rPr>
        <w:t xml:space="preserve">单位电话：                 联系人手机：              </w:t>
      </w:r>
    </w:p>
    <w:p>
      <w:pPr>
        <w:spacing w:line="360" w:lineRule="auto"/>
        <w:rPr>
          <w:rFonts w:hAnsi="宋体"/>
          <w:b/>
          <w:color w:val="auto"/>
          <w:sz w:val="21"/>
          <w:szCs w:val="21"/>
          <w:highlight w:val="none"/>
        </w:rPr>
      </w:pPr>
    </w:p>
    <w:p>
      <w:pPr>
        <w:rPr>
          <w:color w:val="auto"/>
          <w:sz w:val="21"/>
          <w:szCs w:val="21"/>
          <w:highlight w:val="none"/>
        </w:rPr>
      </w:pPr>
      <w:r>
        <w:rPr>
          <w:rFonts w:hint="eastAsia"/>
          <w:color w:val="auto"/>
          <w:sz w:val="21"/>
          <w:szCs w:val="21"/>
          <w:highlight w:val="none"/>
        </w:rPr>
        <w:t>注：1、本说明的所有内容（包括所填写内容）均需打印；2、本说明及磋商保证金进帐单复印件（加盖公章）在磋商时放入唱标信封内。</w:t>
      </w:r>
    </w:p>
    <w:p>
      <w:pPr>
        <w:rPr>
          <w:color w:val="auto"/>
          <w:highlight w:val="none"/>
        </w:rPr>
      </w:pPr>
    </w:p>
    <w:p>
      <w:pPr>
        <w:overflowPunct w:val="0"/>
        <w:spacing w:line="460" w:lineRule="exact"/>
        <w:rPr>
          <w:rFonts w:hAnsi="宋体"/>
          <w:color w:val="auto"/>
          <w:sz w:val="22"/>
          <w:szCs w:val="22"/>
          <w:highlight w:val="none"/>
        </w:rPr>
      </w:pPr>
      <w:r>
        <w:rPr>
          <w:color w:val="auto"/>
          <w:highlight w:val="none"/>
        </w:rPr>
        <w:br w:type="page"/>
      </w:r>
    </w:p>
    <w:p>
      <w:pPr>
        <w:pStyle w:val="4"/>
        <w:pageBreakBefore/>
        <w:spacing w:line="360" w:lineRule="auto"/>
        <w:jc w:val="center"/>
        <w:rPr>
          <w:bCs/>
          <w:color w:val="auto"/>
          <w:sz w:val="28"/>
          <w:szCs w:val="28"/>
          <w:highlight w:val="none"/>
        </w:rPr>
      </w:pPr>
      <w:bookmarkStart w:id="242" w:name="_Toc20966"/>
      <w:bookmarkStart w:id="243" w:name="_Toc19888"/>
      <w:r>
        <w:rPr>
          <w:rFonts w:hint="eastAsia"/>
          <w:bCs/>
          <w:color w:val="auto"/>
          <w:sz w:val="28"/>
          <w:szCs w:val="28"/>
          <w:highlight w:val="none"/>
        </w:rPr>
        <w:t>第三部分 技术文件</w:t>
      </w:r>
      <w:bookmarkEnd w:id="242"/>
      <w:bookmarkEnd w:id="243"/>
    </w:p>
    <w:p>
      <w:pPr>
        <w:jc w:val="center"/>
        <w:rPr>
          <w:color w:val="auto"/>
          <w:highlight w:val="none"/>
        </w:rPr>
      </w:pPr>
    </w:p>
    <w:p>
      <w:pPr>
        <w:pStyle w:val="4"/>
        <w:numPr>
          <w:ilvl w:val="0"/>
          <w:numId w:val="36"/>
        </w:numPr>
        <w:jc w:val="center"/>
        <w:rPr>
          <w:color w:val="auto"/>
          <w:highlight w:val="none"/>
        </w:rPr>
      </w:pPr>
      <w:bookmarkStart w:id="244" w:name="_Toc31683"/>
      <w:bookmarkStart w:id="245" w:name="_Toc15167"/>
      <w:bookmarkStart w:id="246" w:name="_Toc9540"/>
      <w:bookmarkStart w:id="247" w:name="_Toc28884"/>
      <w:bookmarkStart w:id="248" w:name="_Toc1852"/>
      <w:bookmarkStart w:id="249" w:name="_Toc24064"/>
      <w:bookmarkStart w:id="250" w:name="_Toc25949"/>
      <w:bookmarkStart w:id="251" w:name="_Toc9579"/>
      <w:r>
        <w:rPr>
          <w:rFonts w:hint="eastAsia"/>
          <w:color w:val="auto"/>
          <w:highlight w:val="none"/>
        </w:rPr>
        <w:t>技术方案</w:t>
      </w:r>
      <w:bookmarkEnd w:id="244"/>
      <w:bookmarkEnd w:id="245"/>
      <w:bookmarkEnd w:id="246"/>
      <w:bookmarkEnd w:id="247"/>
      <w:bookmarkEnd w:id="248"/>
      <w:bookmarkEnd w:id="249"/>
      <w:bookmarkEnd w:id="250"/>
      <w:bookmarkEnd w:id="251"/>
    </w:p>
    <w:p>
      <w:pPr>
        <w:snapToGrid w:val="0"/>
        <w:spacing w:line="360" w:lineRule="auto"/>
        <w:rPr>
          <w:rFonts w:hAnsi="宋体"/>
          <w:color w:val="auto"/>
          <w:sz w:val="21"/>
          <w:szCs w:val="21"/>
          <w:highlight w:val="none"/>
        </w:rPr>
      </w:pPr>
    </w:p>
    <w:p>
      <w:pPr>
        <w:snapToGrid w:val="0"/>
        <w:spacing w:line="360" w:lineRule="auto"/>
        <w:ind w:firstLine="420" w:firstLineChars="200"/>
        <w:rPr>
          <w:rFonts w:hAnsi="宋体"/>
          <w:color w:val="auto"/>
          <w:sz w:val="21"/>
          <w:szCs w:val="21"/>
          <w:highlight w:val="none"/>
        </w:rPr>
      </w:pPr>
      <w:r>
        <w:rPr>
          <w:rFonts w:hint="eastAsia" w:hAnsi="宋体"/>
          <w:color w:val="auto"/>
          <w:sz w:val="21"/>
          <w:szCs w:val="21"/>
          <w:highlight w:val="none"/>
        </w:rPr>
        <w:t>根据用户需求书编写。</w:t>
      </w:r>
    </w:p>
    <w:p>
      <w:pPr>
        <w:snapToGrid w:val="0"/>
        <w:spacing w:line="360" w:lineRule="auto"/>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4"/>
        <w:numPr>
          <w:ilvl w:val="0"/>
          <w:numId w:val="36"/>
        </w:numPr>
        <w:jc w:val="center"/>
        <w:rPr>
          <w:color w:val="auto"/>
          <w:highlight w:val="none"/>
        </w:rPr>
      </w:pPr>
      <w:bookmarkStart w:id="252" w:name="_Toc30049"/>
      <w:bookmarkStart w:id="253" w:name="_Toc28953"/>
      <w:bookmarkStart w:id="254" w:name="_Toc12278"/>
      <w:bookmarkStart w:id="255" w:name="_Toc11036"/>
      <w:bookmarkStart w:id="256" w:name="_Toc9619"/>
      <w:bookmarkStart w:id="257" w:name="_Toc23849"/>
      <w:bookmarkStart w:id="258" w:name="_Toc24947"/>
      <w:bookmarkStart w:id="259" w:name="_Toc15530"/>
      <w:r>
        <w:rPr>
          <w:rFonts w:hint="eastAsia"/>
          <w:color w:val="auto"/>
          <w:highlight w:val="none"/>
        </w:rPr>
        <w:t>其他资料</w:t>
      </w:r>
      <w:bookmarkEnd w:id="252"/>
      <w:bookmarkEnd w:id="253"/>
      <w:bookmarkEnd w:id="254"/>
      <w:bookmarkEnd w:id="255"/>
      <w:bookmarkEnd w:id="256"/>
      <w:bookmarkEnd w:id="257"/>
      <w:bookmarkEnd w:id="258"/>
      <w:bookmarkEnd w:id="259"/>
    </w:p>
    <w:p>
      <w:pPr>
        <w:pStyle w:val="28"/>
        <w:spacing w:line="360" w:lineRule="auto"/>
        <w:ind w:firstLine="420"/>
        <w:rPr>
          <w:rFonts w:hAnsi="宋体"/>
          <w:color w:val="auto"/>
          <w:highlight w:val="none"/>
        </w:rPr>
      </w:pPr>
    </w:p>
    <w:p>
      <w:pPr>
        <w:spacing w:line="360" w:lineRule="auto"/>
        <w:rPr>
          <w:rFonts w:hAnsi="宋体"/>
          <w:color w:val="auto"/>
          <w:sz w:val="21"/>
          <w:szCs w:val="21"/>
          <w:highlight w:val="none"/>
        </w:rPr>
      </w:pPr>
      <w:r>
        <w:rPr>
          <w:rFonts w:hint="eastAsia" w:hAnsi="宋体"/>
          <w:color w:val="auto"/>
          <w:sz w:val="21"/>
          <w:szCs w:val="21"/>
          <w:highlight w:val="none"/>
        </w:rPr>
        <w:t>1、磋商文件要求提供的其他资料（如有）</w:t>
      </w:r>
    </w:p>
    <w:p>
      <w:pPr>
        <w:spacing w:line="360" w:lineRule="auto"/>
        <w:rPr>
          <w:rFonts w:hAnsi="宋体"/>
          <w:color w:val="auto"/>
          <w:sz w:val="21"/>
          <w:szCs w:val="21"/>
          <w:highlight w:val="none"/>
        </w:rPr>
      </w:pPr>
      <w:r>
        <w:rPr>
          <w:rFonts w:hint="eastAsia" w:hAnsi="宋体"/>
          <w:color w:val="auto"/>
          <w:sz w:val="21"/>
          <w:szCs w:val="21"/>
          <w:highlight w:val="none"/>
        </w:rPr>
        <w:t>2、供应商认为需要提供的其他资料（如有）</w:t>
      </w: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13"/>
        <w:rPr>
          <w:rFonts w:hAnsi="宋体"/>
          <w:color w:val="auto"/>
          <w:sz w:val="21"/>
          <w:szCs w:val="21"/>
          <w:highlight w:val="none"/>
        </w:rPr>
      </w:pPr>
    </w:p>
    <w:p>
      <w:pPr>
        <w:pStyle w:val="4"/>
        <w:jc w:val="center"/>
        <w:rPr>
          <w:color w:val="auto"/>
          <w:sz w:val="28"/>
          <w:szCs w:val="28"/>
          <w:highlight w:val="none"/>
        </w:rPr>
      </w:pPr>
      <w:bookmarkStart w:id="260" w:name="_Toc17492"/>
      <w:r>
        <w:rPr>
          <w:rFonts w:hint="eastAsia"/>
          <w:color w:val="auto"/>
          <w:sz w:val="28"/>
          <w:szCs w:val="28"/>
          <w:highlight w:val="none"/>
        </w:rPr>
        <w:t>第四部分 唱标信封</w:t>
      </w:r>
      <w:r>
        <w:rPr>
          <w:rFonts w:hint="eastAsia"/>
          <w:bCs/>
          <w:color w:val="auto"/>
          <w:sz w:val="28"/>
          <w:szCs w:val="28"/>
          <w:highlight w:val="none"/>
        </w:rPr>
        <w:t>（单独编制装订成册，单独封装）</w:t>
      </w:r>
      <w:bookmarkEnd w:id="260"/>
    </w:p>
    <w:p>
      <w:pPr>
        <w:pStyle w:val="75"/>
        <w:spacing w:line="460" w:lineRule="exact"/>
        <w:ind w:firstLine="0" w:firstLineChars="0"/>
        <w:rPr>
          <w:rFonts w:ascii="宋体" w:eastAsia="宋体"/>
          <w:color w:val="auto"/>
          <w:sz w:val="21"/>
          <w:szCs w:val="21"/>
          <w:highlight w:val="none"/>
        </w:rPr>
      </w:pPr>
      <w:r>
        <w:rPr>
          <w:rFonts w:hint="eastAsia" w:ascii="宋体" w:eastAsia="宋体"/>
          <w:color w:val="auto"/>
          <w:sz w:val="21"/>
          <w:szCs w:val="21"/>
          <w:highlight w:val="none"/>
        </w:rPr>
        <w:t>唱标信封内装：</w:t>
      </w:r>
    </w:p>
    <w:p>
      <w:pPr>
        <w:pStyle w:val="75"/>
        <w:spacing w:line="460" w:lineRule="exact"/>
        <w:ind w:firstLine="433"/>
        <w:rPr>
          <w:rFonts w:ascii="宋体" w:eastAsia="宋体"/>
          <w:color w:val="auto"/>
          <w:sz w:val="21"/>
          <w:szCs w:val="21"/>
          <w:highlight w:val="none"/>
        </w:rPr>
      </w:pPr>
      <w:r>
        <w:rPr>
          <w:rFonts w:hint="eastAsia" w:ascii="宋体" w:eastAsia="宋体"/>
          <w:color w:val="auto"/>
          <w:sz w:val="21"/>
          <w:szCs w:val="21"/>
          <w:highlight w:val="none"/>
        </w:rPr>
        <w:t>（1）报价一览表复印件加盖公章；</w:t>
      </w:r>
    </w:p>
    <w:p>
      <w:pPr>
        <w:pStyle w:val="75"/>
        <w:spacing w:line="460" w:lineRule="exact"/>
        <w:ind w:firstLine="433"/>
        <w:rPr>
          <w:rFonts w:ascii="宋体" w:eastAsia="宋体"/>
          <w:color w:val="auto"/>
          <w:sz w:val="21"/>
          <w:szCs w:val="21"/>
          <w:highlight w:val="none"/>
        </w:rPr>
      </w:pPr>
      <w:r>
        <w:rPr>
          <w:rFonts w:hint="eastAsia" w:ascii="宋体" w:eastAsia="宋体"/>
          <w:color w:val="auto"/>
          <w:sz w:val="21"/>
          <w:szCs w:val="21"/>
          <w:highlight w:val="none"/>
        </w:rPr>
        <w:t>（2）磋商保证金汇入情况说明及银行汇款凭证（或担保函）复印件加盖公章；</w:t>
      </w:r>
    </w:p>
    <w:p>
      <w:pPr>
        <w:pStyle w:val="75"/>
        <w:spacing w:line="460" w:lineRule="exact"/>
        <w:ind w:firstLine="433"/>
        <w:rPr>
          <w:rFonts w:ascii="宋体" w:eastAsia="宋体"/>
          <w:color w:val="auto"/>
          <w:sz w:val="21"/>
          <w:szCs w:val="21"/>
          <w:highlight w:val="none"/>
        </w:rPr>
      </w:pPr>
      <w:r>
        <w:rPr>
          <w:rFonts w:hint="eastAsia" w:ascii="宋体" w:eastAsia="宋体"/>
          <w:color w:val="auto"/>
          <w:sz w:val="21"/>
          <w:szCs w:val="21"/>
          <w:highlight w:val="none"/>
        </w:rPr>
        <w:t>（3）法定代表人证明书加盖公章；</w:t>
      </w:r>
    </w:p>
    <w:p>
      <w:pPr>
        <w:pStyle w:val="75"/>
        <w:spacing w:line="460" w:lineRule="exact"/>
        <w:ind w:firstLine="433"/>
        <w:rPr>
          <w:rFonts w:ascii="宋体" w:eastAsia="宋体"/>
          <w:color w:val="auto"/>
          <w:sz w:val="21"/>
          <w:szCs w:val="21"/>
          <w:highlight w:val="none"/>
        </w:rPr>
      </w:pPr>
      <w:r>
        <w:rPr>
          <w:rFonts w:hint="eastAsia" w:ascii="宋体" w:eastAsia="宋体"/>
          <w:color w:val="auto"/>
          <w:sz w:val="21"/>
          <w:szCs w:val="21"/>
          <w:highlight w:val="none"/>
        </w:rPr>
        <w:t>（4）法定代表人授权委托书加盖公章（法定代表人磋商的除外）；</w:t>
      </w:r>
    </w:p>
    <w:p>
      <w:pPr>
        <w:pStyle w:val="75"/>
        <w:spacing w:line="460" w:lineRule="exact"/>
        <w:ind w:firstLine="433"/>
        <w:rPr>
          <w:rFonts w:ascii="宋体" w:eastAsia="宋体"/>
          <w:color w:val="auto"/>
          <w:sz w:val="22"/>
          <w:szCs w:val="22"/>
          <w:highlight w:val="none"/>
        </w:rPr>
      </w:pPr>
      <w:r>
        <w:rPr>
          <w:rFonts w:hint="eastAsia" w:ascii="宋体" w:eastAsia="宋体"/>
          <w:color w:val="auto"/>
          <w:sz w:val="21"/>
          <w:szCs w:val="21"/>
          <w:highlight w:val="none"/>
        </w:rPr>
        <w:t>（5）磋商文件电子文件（签字、盖章后的磋商文件PDF格式扫描版电子文件, 可采用光盘介质或U盘装载）；</w:t>
      </w:r>
    </w:p>
    <w:p>
      <w:pPr>
        <w:pStyle w:val="75"/>
        <w:spacing w:line="460" w:lineRule="exact"/>
        <w:ind w:firstLine="453"/>
        <w:rPr>
          <w:rFonts w:ascii="宋体" w:eastAsia="宋体"/>
          <w:color w:val="auto"/>
          <w:sz w:val="22"/>
          <w:szCs w:val="22"/>
          <w:highlight w:val="none"/>
        </w:rPr>
      </w:pPr>
    </w:p>
    <w:p>
      <w:pPr>
        <w:rPr>
          <w:color w:val="auto"/>
          <w:highlight w:val="none"/>
        </w:rPr>
      </w:pPr>
    </w:p>
    <w:p>
      <w:pPr>
        <w:rPr>
          <w:color w:val="auto"/>
          <w:highlight w:val="none"/>
          <w:lang w:val="zh-CN"/>
        </w:rPr>
      </w:pPr>
      <w:bookmarkStart w:id="261" w:name="_Toc396137262"/>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pStyle w:val="13"/>
        <w:ind w:firstLine="400"/>
        <w:rPr>
          <w:color w:val="auto"/>
          <w:highlight w:val="none"/>
          <w:lang w:val="zh-CN"/>
        </w:rPr>
      </w:pPr>
    </w:p>
    <w:p>
      <w:pPr>
        <w:pStyle w:val="13"/>
        <w:ind w:firstLine="400"/>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bookmarkEnd w:id="261"/>
    <w:p>
      <w:pPr>
        <w:rPr>
          <w:color w:val="auto"/>
          <w:highlight w:val="none"/>
          <w:lang w:val="zh-CN"/>
        </w:rPr>
      </w:pPr>
    </w:p>
    <w:sectPr>
      <w:headerReference r:id="rId8" w:type="first"/>
      <w:footerReference r:id="rId11" w:type="first"/>
      <w:headerReference r:id="rId7" w:type="default"/>
      <w:footerReference r:id="rId9" w:type="default"/>
      <w:footerReference r:id="rId10" w:type="even"/>
      <w:pgSz w:w="11907" w:h="16840"/>
      <w:pgMar w:top="1440" w:right="1134" w:bottom="1440" w:left="1134" w:header="85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DFKai-SB">
    <w:panose1 w:val="03000509000000000000"/>
    <w:charset w:val="88"/>
    <w:family w:val="script"/>
    <w:pitch w:val="default"/>
    <w:sig w:usb0="00000003" w:usb1="082E0000" w:usb2="00000016" w:usb3="00000000" w:csb0="00100001" w:csb1="00000000"/>
  </w:font>
  <w:font w:name="Arial Black">
    <w:panose1 w:val="020B0A04020102020204"/>
    <w:charset w:val="00"/>
    <w:family w:val="swiss"/>
    <w:pitch w:val="default"/>
    <w:sig w:usb0="00000287" w:usb1="00000000" w:usb2="00000000" w:usb3="00000000" w:csb0="2000009F" w:csb1="DFD70000"/>
  </w:font>
  <w:font w:name="时尚中黑简体">
    <w:altName w:val="黑体"/>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7"/>
      </w:rPr>
    </w:pPr>
    <w:r>
      <w:fldChar w:fldCharType="begin"/>
    </w:r>
    <w:r>
      <w:rPr>
        <w:rStyle w:val="57"/>
      </w:rPr>
      <w:instrText xml:space="preserve">PAGE  </w:instrText>
    </w:r>
    <w:r>
      <w:fldChar w:fldCharType="separate"/>
    </w:r>
    <w:r>
      <w:rPr>
        <w:rStyle w:val="57"/>
      </w:rPr>
      <w:t>5</w:t>
    </w:r>
    <w:r>
      <w:fldChar w:fldCharType="end"/>
    </w:r>
  </w:p>
  <w:p>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k582qtgEAAFcDAAAOAAAAAAAAAAEAIAAAACIBAABkcnMvZTJvRG9jLnhtbFBLBQYAAAAABgAG&#10;AFkBAABKBQAAAAA=&#10;">
              <v:fill on="f" focussize="0,0"/>
              <v:stroke on="f" weight="1.25pt"/>
              <v:imagedata o:title=""/>
              <o:lock v:ext="edit" aspectratio="f"/>
              <v:textbox inset="0mm,0mm,0mm,0mm" style="mso-fit-shape-to-text:t;">
                <w:txbxContent>
                  <w:p>
                    <w:pPr>
                      <w:pStyle w:val="34"/>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7"/>
      </w:rPr>
    </w:pPr>
    <w:r>
      <w:fldChar w:fldCharType="begin"/>
    </w:r>
    <w:r>
      <w:rPr>
        <w:rStyle w:val="57"/>
      </w:rPr>
      <w:instrText xml:space="preserve">PAGE  </w:instrText>
    </w:r>
    <w:r>
      <w:fldChar w:fldCharType="end"/>
    </w:r>
  </w:p>
  <w:p>
    <w:pPr>
      <w:pStyle w:val="3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QaFtwtgEAAFcDAAAOAAAAAAAAAAEAIAAAACIBAABkcnMvZTJvRG9jLnhtbFBLBQYAAAAABgAG&#10;AFkBAABKBQAAAAA=&#10;">
              <v:fill on="f" focussize="0,0"/>
              <v:stroke on="f" weight="1.25pt"/>
              <v:imagedata o:title=""/>
              <o:lock v:ext="edit" aspectratio="f"/>
              <v:textbox inset="0mm,0mm,0mm,0mm" style="mso-fit-shape-to-text:t;">
                <w:txbxContent>
                  <w:p>
                    <w:pPr>
                      <w:pStyle w:val="3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tabs>
        <w:tab w:val="left" w:pos="5049"/>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rPr>
      <w:drawing>
        <wp:anchor distT="0" distB="0" distL="114300" distR="114300" simplePos="0" relativeHeight="251657216" behindDoc="1" locked="0" layoutInCell="1" allowOverlap="1">
          <wp:simplePos x="0" y="0"/>
          <wp:positionH relativeFrom="column">
            <wp:posOffset>3376930</wp:posOffset>
          </wp:positionH>
          <wp:positionV relativeFrom="paragraph">
            <wp:posOffset>-236855</wp:posOffset>
          </wp:positionV>
          <wp:extent cx="434340" cy="434340"/>
          <wp:effectExtent l="19050" t="0" r="3810" b="0"/>
          <wp:wrapNone/>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noChangeArrowheads="1"/>
                  </pic:cNvPicPr>
                </pic:nvPicPr>
                <pic:blipFill>
                  <a:blip r:embed="rId1"/>
                  <a:srcRect/>
                  <a:stretch>
                    <a:fillRect/>
                  </a:stretch>
                </pic:blipFill>
                <pic:spPr>
                  <a:xfrm>
                    <a:off x="0" y="0"/>
                    <a:ext cx="434340" cy="434340"/>
                  </a:xfrm>
                  <a:prstGeom prst="rect">
                    <a:avLst/>
                  </a:prstGeom>
                  <a:noFill/>
                  <a:ln w="9525" cmpd="sng">
                    <a:noFill/>
                    <a:miter lim="800000"/>
                    <a:headEnd/>
                    <a:tailEnd/>
                  </a:ln>
                </pic:spPr>
              </pic:pic>
            </a:graphicData>
          </a:graphic>
        </wp:anchor>
      </w:drawing>
    </w:r>
    <w:r>
      <w:rPr>
        <w:rFonts w:hint="eastAsia" w:ascii="时尚中黑简体" w:hAnsi="时尚中黑简体" w:eastAsia="时尚中黑简体" w:cs="时尚中黑简体"/>
        <w:bCs/>
        <w:sz w:val="21"/>
        <w:szCs w:val="21"/>
      </w:rPr>
      <w:t>广东泰通伟业工程咨询有限公司  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A30A4"/>
    <w:multiLevelType w:val="singleLevel"/>
    <w:tmpl w:val="8DFA30A4"/>
    <w:lvl w:ilvl="0" w:tentative="0">
      <w:start w:val="1"/>
      <w:numFmt w:val="chineseCounting"/>
      <w:suff w:val="nothing"/>
      <w:lvlText w:val="（%1）"/>
      <w:lvlJc w:val="left"/>
      <w:pPr>
        <w:ind w:left="0" w:firstLine="420"/>
      </w:pPr>
      <w:rPr>
        <w:rFonts w:hint="eastAsia"/>
      </w:rPr>
    </w:lvl>
  </w:abstractNum>
  <w:abstractNum w:abstractNumId="1">
    <w:nsid w:val="92EEAC35"/>
    <w:multiLevelType w:val="singleLevel"/>
    <w:tmpl w:val="92EEAC35"/>
    <w:lvl w:ilvl="0" w:tentative="0">
      <w:start w:val="1"/>
      <w:numFmt w:val="chineseCounting"/>
      <w:suff w:val="nothing"/>
      <w:lvlText w:val="%1、"/>
      <w:lvlJc w:val="left"/>
      <w:pPr>
        <w:ind w:left="0" w:firstLine="420"/>
      </w:pPr>
      <w:rPr>
        <w:rFonts w:hint="eastAsia"/>
      </w:rPr>
    </w:lvl>
  </w:abstractNum>
  <w:abstractNum w:abstractNumId="2">
    <w:nsid w:val="9747720E"/>
    <w:multiLevelType w:val="singleLevel"/>
    <w:tmpl w:val="9747720E"/>
    <w:lvl w:ilvl="0" w:tentative="0">
      <w:start w:val="2"/>
      <w:numFmt w:val="decimal"/>
      <w:suff w:val="nothing"/>
      <w:lvlText w:val="%1、"/>
      <w:lvlJc w:val="left"/>
    </w:lvl>
  </w:abstractNum>
  <w:abstractNum w:abstractNumId="3">
    <w:nsid w:val="B04F66F7"/>
    <w:multiLevelType w:val="singleLevel"/>
    <w:tmpl w:val="B04F66F7"/>
    <w:lvl w:ilvl="0" w:tentative="0">
      <w:start w:val="11"/>
      <w:numFmt w:val="chineseCounting"/>
      <w:suff w:val="space"/>
      <w:lvlText w:val="第%1条"/>
      <w:lvlJc w:val="left"/>
      <w:rPr>
        <w:rFonts w:hint="eastAsia"/>
      </w:rPr>
    </w:lvl>
  </w:abstractNum>
  <w:abstractNum w:abstractNumId="4">
    <w:nsid w:val="BB76051A"/>
    <w:multiLevelType w:val="singleLevel"/>
    <w:tmpl w:val="BB76051A"/>
    <w:lvl w:ilvl="0" w:tentative="0">
      <w:start w:val="1"/>
      <w:numFmt w:val="decimal"/>
      <w:lvlText w:val="%1."/>
      <w:lvlJc w:val="left"/>
      <w:pPr>
        <w:ind w:left="425" w:hanging="425"/>
      </w:pPr>
      <w:rPr>
        <w:rFonts w:hint="default"/>
      </w:rPr>
    </w:lvl>
  </w:abstractNum>
  <w:abstractNum w:abstractNumId="5">
    <w:nsid w:val="C0321E9C"/>
    <w:multiLevelType w:val="singleLevel"/>
    <w:tmpl w:val="C0321E9C"/>
    <w:lvl w:ilvl="0" w:tentative="0">
      <w:start w:val="1"/>
      <w:numFmt w:val="decimal"/>
      <w:lvlText w:val="%1."/>
      <w:lvlJc w:val="left"/>
      <w:pPr>
        <w:ind w:left="425" w:hanging="425"/>
      </w:pPr>
      <w:rPr>
        <w:rFonts w:hint="default"/>
      </w:rPr>
    </w:lvl>
  </w:abstractNum>
  <w:abstractNum w:abstractNumId="6">
    <w:nsid w:val="CC1D0DC2"/>
    <w:multiLevelType w:val="singleLevel"/>
    <w:tmpl w:val="CC1D0DC2"/>
    <w:lvl w:ilvl="0" w:tentative="0">
      <w:start w:val="1"/>
      <w:numFmt w:val="decimal"/>
      <w:lvlText w:val="%1."/>
      <w:lvlJc w:val="left"/>
      <w:pPr>
        <w:ind w:left="425" w:hanging="425"/>
      </w:pPr>
      <w:rPr>
        <w:rFonts w:hint="default"/>
      </w:rPr>
    </w:lvl>
  </w:abstractNum>
  <w:abstractNum w:abstractNumId="7">
    <w:nsid w:val="D32FAABE"/>
    <w:multiLevelType w:val="singleLevel"/>
    <w:tmpl w:val="D32FAABE"/>
    <w:lvl w:ilvl="0" w:tentative="0">
      <w:start w:val="1"/>
      <w:numFmt w:val="decimal"/>
      <w:lvlText w:val="%1."/>
      <w:lvlJc w:val="left"/>
      <w:pPr>
        <w:tabs>
          <w:tab w:val="left" w:pos="312"/>
        </w:tabs>
      </w:pPr>
    </w:lvl>
  </w:abstractNum>
  <w:abstractNum w:abstractNumId="8">
    <w:nsid w:val="D5A61E7F"/>
    <w:multiLevelType w:val="singleLevel"/>
    <w:tmpl w:val="D5A61E7F"/>
    <w:lvl w:ilvl="0" w:tentative="0">
      <w:start w:val="1"/>
      <w:numFmt w:val="decimal"/>
      <w:lvlText w:val="%1."/>
      <w:lvlJc w:val="left"/>
      <w:pPr>
        <w:tabs>
          <w:tab w:val="left" w:pos="312"/>
        </w:tabs>
      </w:pPr>
    </w:lvl>
  </w:abstractNum>
  <w:abstractNum w:abstractNumId="9">
    <w:nsid w:val="E1B46632"/>
    <w:multiLevelType w:val="singleLevel"/>
    <w:tmpl w:val="E1B46632"/>
    <w:lvl w:ilvl="0" w:tentative="0">
      <w:start w:val="1"/>
      <w:numFmt w:val="chineseCounting"/>
      <w:suff w:val="nothing"/>
      <w:lvlText w:val="（%1）"/>
      <w:lvlJc w:val="left"/>
      <w:pPr>
        <w:ind w:left="0" w:firstLine="420"/>
      </w:pPr>
      <w:rPr>
        <w:rFonts w:hint="eastAsia"/>
      </w:rPr>
    </w:lvl>
  </w:abstractNum>
  <w:abstractNum w:abstractNumId="10">
    <w:nsid w:val="EC01E890"/>
    <w:multiLevelType w:val="singleLevel"/>
    <w:tmpl w:val="EC01E890"/>
    <w:lvl w:ilvl="0" w:tentative="0">
      <w:start w:val="1"/>
      <w:numFmt w:val="chineseCounting"/>
      <w:suff w:val="nothing"/>
      <w:lvlText w:val="%1、"/>
      <w:lvlJc w:val="left"/>
      <w:pPr>
        <w:ind w:left="0" w:firstLine="420"/>
      </w:pPr>
      <w:rPr>
        <w:rFonts w:hint="eastAsia"/>
      </w:rPr>
    </w:lvl>
  </w:abstractNum>
  <w:abstractNum w:abstractNumId="11">
    <w:nsid w:val="ECFD54E7"/>
    <w:multiLevelType w:val="singleLevel"/>
    <w:tmpl w:val="ECFD54E7"/>
    <w:lvl w:ilvl="0" w:tentative="0">
      <w:start w:val="1"/>
      <w:numFmt w:val="chineseCounting"/>
      <w:suff w:val="nothing"/>
      <w:lvlText w:val="（%1）"/>
      <w:lvlJc w:val="left"/>
      <w:pPr>
        <w:ind w:left="0" w:firstLine="420"/>
      </w:pPr>
      <w:rPr>
        <w:rFonts w:hint="eastAsia"/>
      </w:rPr>
    </w:lvl>
  </w:abstractNum>
  <w:abstractNum w:abstractNumId="12">
    <w:nsid w:val="F3051630"/>
    <w:multiLevelType w:val="singleLevel"/>
    <w:tmpl w:val="F3051630"/>
    <w:lvl w:ilvl="0" w:tentative="0">
      <w:start w:val="1"/>
      <w:numFmt w:val="chineseCounting"/>
      <w:suff w:val="nothing"/>
      <w:lvlText w:val="（%1）"/>
      <w:lvlJc w:val="left"/>
      <w:pPr>
        <w:ind w:left="6" w:firstLine="420"/>
      </w:pPr>
      <w:rPr>
        <w:rFonts w:hint="eastAsia"/>
      </w:rPr>
    </w:lvl>
  </w:abstractNum>
  <w:abstractNum w:abstractNumId="13">
    <w:nsid w:val="FD73D4F5"/>
    <w:multiLevelType w:val="singleLevel"/>
    <w:tmpl w:val="FD73D4F5"/>
    <w:lvl w:ilvl="0" w:tentative="0">
      <w:start w:val="1"/>
      <w:numFmt w:val="chineseCounting"/>
      <w:suff w:val="nothing"/>
      <w:lvlText w:val="（%1）"/>
      <w:lvlJc w:val="left"/>
      <w:rPr>
        <w:rFonts w:hint="eastAsia"/>
      </w:rPr>
    </w:lvl>
  </w:abstractNum>
  <w:abstractNum w:abstractNumId="14">
    <w:nsid w:val="00000005"/>
    <w:multiLevelType w:val="singleLevel"/>
    <w:tmpl w:val="00000005"/>
    <w:lvl w:ilvl="0" w:tentative="0">
      <w:start w:val="1"/>
      <w:numFmt w:val="chineseCounting"/>
      <w:suff w:val="nothing"/>
      <w:lvlText w:val="%1、"/>
      <w:lvlJc w:val="left"/>
      <w:pPr>
        <w:ind w:left="3833" w:firstLine="420"/>
      </w:pPr>
      <w:rPr>
        <w:rFonts w:hint="eastAsia"/>
      </w:rPr>
    </w:lvl>
  </w:abstractNum>
  <w:abstractNum w:abstractNumId="15">
    <w:nsid w:val="00000010"/>
    <w:multiLevelType w:val="multilevel"/>
    <w:tmpl w:val="00000010"/>
    <w:lvl w:ilvl="0" w:tentative="0">
      <w:start w:val="1"/>
      <w:numFmt w:val="decimal"/>
      <w:lvlText w:val="%1"/>
      <w:lvlJc w:val="left"/>
      <w:pPr>
        <w:tabs>
          <w:tab w:val="left" w:pos="425"/>
        </w:tabs>
        <w:ind w:left="425" w:hanging="425"/>
      </w:pPr>
    </w:lvl>
    <w:lvl w:ilvl="1" w:tentative="0">
      <w:start w:val="1"/>
      <w:numFmt w:val="decimal"/>
      <w:pStyle w:val="102"/>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00000011"/>
    <w:multiLevelType w:val="multilevel"/>
    <w:tmpl w:val="00000011"/>
    <w:lvl w:ilvl="0" w:tentative="0">
      <w:start w:val="4"/>
      <w:numFmt w:val="japaneseCounting"/>
      <w:lvlText w:val="第%1篇"/>
      <w:lvlJc w:val="left"/>
      <w:pPr>
        <w:tabs>
          <w:tab w:val="left" w:pos="1080"/>
        </w:tabs>
        <w:ind w:left="1080" w:hanging="1080"/>
      </w:pPr>
      <w:rPr>
        <w:rFonts w:hint="default"/>
      </w:rPr>
    </w:lvl>
    <w:lvl w:ilvl="1" w:tentative="0">
      <w:start w:val="3"/>
      <w:numFmt w:val="japaneseCounting"/>
      <w:lvlText w:val="%2、"/>
      <w:lvlJc w:val="left"/>
      <w:pPr>
        <w:tabs>
          <w:tab w:val="left" w:pos="900"/>
        </w:tabs>
        <w:ind w:left="900" w:hanging="4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2"/>
    <w:multiLevelType w:val="multilevel"/>
    <w:tmpl w:val="00000012"/>
    <w:lvl w:ilvl="0" w:tentative="0">
      <w:start w:val="1"/>
      <w:numFmt w:val="bullet"/>
      <w:pStyle w:val="9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0000013"/>
    <w:multiLevelType w:val="multilevel"/>
    <w:tmpl w:val="00000013"/>
    <w:lvl w:ilvl="0" w:tentative="0">
      <w:start w:val="1"/>
      <w:numFmt w:val="decimal"/>
      <w:pStyle w:val="110"/>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00000016"/>
    <w:multiLevelType w:val="multilevel"/>
    <w:tmpl w:val="00000016"/>
    <w:lvl w:ilvl="0" w:tentative="0">
      <w:start w:val="1"/>
      <w:numFmt w:val="decimal"/>
      <w:pStyle w:val="1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20"/>
    <w:multiLevelType w:val="multilevel"/>
    <w:tmpl w:val="00000020"/>
    <w:lvl w:ilvl="0" w:tentative="0">
      <w:start w:val="1"/>
      <w:numFmt w:val="bullet"/>
      <w:pStyle w:val="9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00000021"/>
    <w:multiLevelType w:val="multilevel"/>
    <w:tmpl w:val="00000021"/>
    <w:lvl w:ilvl="0" w:tentative="0">
      <w:start w:val="1"/>
      <w:numFmt w:val="chineseCounting"/>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28"/>
    <w:multiLevelType w:val="multilevel"/>
    <w:tmpl w:val="00000028"/>
    <w:lvl w:ilvl="0" w:tentative="0">
      <w:start w:val="1"/>
      <w:numFmt w:val="japaneseCounting"/>
      <w:lvlText w:val="第%1篇"/>
      <w:lvlJc w:val="left"/>
      <w:pPr>
        <w:ind w:left="1080" w:hanging="1080"/>
      </w:pPr>
      <w:rPr>
        <w:rFonts w:hint="default"/>
      </w:rPr>
    </w:lvl>
    <w:lvl w:ilvl="1" w:tentative="0">
      <w:start w:val="1"/>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29"/>
    <w:multiLevelType w:val="multilevel"/>
    <w:tmpl w:val="00000029"/>
    <w:lvl w:ilvl="0" w:tentative="0">
      <w:start w:val="1"/>
      <w:numFmt w:val="bullet"/>
      <w:pStyle w:val="49"/>
      <w:lvlText w:val=""/>
      <w:lvlJc w:val="left"/>
      <w:pPr>
        <w:tabs>
          <w:tab w:val="left" w:pos="2121"/>
        </w:tabs>
        <w:ind w:left="2121" w:hanging="420"/>
      </w:pPr>
      <w:rPr>
        <w:rFonts w:hint="default" w:ascii="Wingdings" w:hAnsi="Wingdings"/>
      </w:rPr>
    </w:lvl>
    <w:lvl w:ilvl="1" w:tentative="0">
      <w:start w:val="1"/>
      <w:numFmt w:val="bullet"/>
      <w:lvlText w:val=""/>
      <w:lvlJc w:val="left"/>
      <w:pPr>
        <w:tabs>
          <w:tab w:val="left" w:pos="2541"/>
        </w:tabs>
        <w:ind w:left="2541" w:hanging="420"/>
      </w:pPr>
      <w:rPr>
        <w:rFonts w:hint="default" w:ascii="Wingdings" w:hAnsi="Wingdings"/>
      </w:rPr>
    </w:lvl>
    <w:lvl w:ilvl="2" w:tentative="0">
      <w:start w:val="1"/>
      <w:numFmt w:val="bullet"/>
      <w:lvlText w:val=""/>
      <w:lvlJc w:val="left"/>
      <w:pPr>
        <w:tabs>
          <w:tab w:val="left" w:pos="2961"/>
        </w:tabs>
        <w:ind w:left="2961" w:hanging="420"/>
      </w:pPr>
      <w:rPr>
        <w:rFonts w:hint="default" w:ascii="Wingdings" w:hAnsi="Wingdings"/>
      </w:rPr>
    </w:lvl>
    <w:lvl w:ilvl="3" w:tentative="0">
      <w:start w:val="1"/>
      <w:numFmt w:val="bullet"/>
      <w:lvlText w:val=""/>
      <w:lvlJc w:val="left"/>
      <w:pPr>
        <w:tabs>
          <w:tab w:val="left" w:pos="3381"/>
        </w:tabs>
        <w:ind w:left="3381" w:hanging="420"/>
      </w:pPr>
      <w:rPr>
        <w:rFonts w:hint="default" w:ascii="Wingdings" w:hAnsi="Wingdings"/>
      </w:rPr>
    </w:lvl>
    <w:lvl w:ilvl="4" w:tentative="0">
      <w:start w:val="1"/>
      <w:numFmt w:val="bullet"/>
      <w:lvlText w:val=""/>
      <w:lvlJc w:val="left"/>
      <w:pPr>
        <w:tabs>
          <w:tab w:val="left" w:pos="3801"/>
        </w:tabs>
        <w:ind w:left="3801" w:hanging="420"/>
      </w:pPr>
      <w:rPr>
        <w:rFonts w:hint="default" w:ascii="Wingdings" w:hAnsi="Wingdings"/>
      </w:rPr>
    </w:lvl>
    <w:lvl w:ilvl="5" w:tentative="0">
      <w:start w:val="1"/>
      <w:numFmt w:val="bullet"/>
      <w:lvlText w:val=""/>
      <w:lvlJc w:val="left"/>
      <w:pPr>
        <w:tabs>
          <w:tab w:val="left" w:pos="4221"/>
        </w:tabs>
        <w:ind w:left="4221" w:hanging="420"/>
      </w:pPr>
      <w:rPr>
        <w:rFonts w:hint="default" w:ascii="Wingdings" w:hAnsi="Wingdings"/>
      </w:rPr>
    </w:lvl>
    <w:lvl w:ilvl="6" w:tentative="0">
      <w:start w:val="1"/>
      <w:numFmt w:val="bullet"/>
      <w:lvlText w:val=""/>
      <w:lvlJc w:val="left"/>
      <w:pPr>
        <w:tabs>
          <w:tab w:val="left" w:pos="4641"/>
        </w:tabs>
        <w:ind w:left="4641" w:hanging="420"/>
      </w:pPr>
      <w:rPr>
        <w:rFonts w:hint="default" w:ascii="Wingdings" w:hAnsi="Wingdings"/>
      </w:rPr>
    </w:lvl>
    <w:lvl w:ilvl="7" w:tentative="0">
      <w:start w:val="1"/>
      <w:numFmt w:val="bullet"/>
      <w:lvlText w:val=""/>
      <w:lvlJc w:val="left"/>
      <w:pPr>
        <w:tabs>
          <w:tab w:val="left" w:pos="5061"/>
        </w:tabs>
        <w:ind w:left="5061" w:hanging="420"/>
      </w:pPr>
      <w:rPr>
        <w:rFonts w:hint="default" w:ascii="Wingdings" w:hAnsi="Wingdings"/>
      </w:rPr>
    </w:lvl>
    <w:lvl w:ilvl="8" w:tentative="0">
      <w:start w:val="1"/>
      <w:numFmt w:val="bullet"/>
      <w:lvlText w:val=""/>
      <w:lvlJc w:val="left"/>
      <w:pPr>
        <w:tabs>
          <w:tab w:val="left" w:pos="5481"/>
        </w:tabs>
        <w:ind w:left="5481" w:hanging="420"/>
      </w:pPr>
      <w:rPr>
        <w:rFonts w:hint="default" w:ascii="Wingdings" w:hAnsi="Wingdings"/>
      </w:rPr>
    </w:lvl>
  </w:abstractNum>
  <w:abstractNum w:abstractNumId="24">
    <w:nsid w:val="00000031"/>
    <w:multiLevelType w:val="multilevel"/>
    <w:tmpl w:val="00000031"/>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E106B4D"/>
    <w:multiLevelType w:val="singleLevel"/>
    <w:tmpl w:val="0E106B4D"/>
    <w:lvl w:ilvl="0" w:tentative="0">
      <w:start w:val="4"/>
      <w:numFmt w:val="chineseCounting"/>
      <w:suff w:val="space"/>
      <w:lvlText w:val="第%1条"/>
      <w:lvlJc w:val="left"/>
      <w:rPr>
        <w:rFonts w:hint="eastAsia"/>
      </w:rPr>
    </w:lvl>
  </w:abstractNum>
  <w:abstractNum w:abstractNumId="26">
    <w:nsid w:val="0F8A82EC"/>
    <w:multiLevelType w:val="singleLevel"/>
    <w:tmpl w:val="0F8A82EC"/>
    <w:lvl w:ilvl="0" w:tentative="0">
      <w:start w:val="1"/>
      <w:numFmt w:val="chineseCounting"/>
      <w:suff w:val="nothing"/>
      <w:lvlText w:val="（%1）"/>
      <w:lvlJc w:val="left"/>
      <w:pPr>
        <w:ind w:left="0" w:firstLine="420"/>
      </w:pPr>
      <w:rPr>
        <w:rFonts w:hint="eastAsia"/>
      </w:rPr>
    </w:lvl>
  </w:abstractNum>
  <w:abstractNum w:abstractNumId="27">
    <w:nsid w:val="1E9ADD12"/>
    <w:multiLevelType w:val="singleLevel"/>
    <w:tmpl w:val="1E9ADD12"/>
    <w:lvl w:ilvl="0" w:tentative="0">
      <w:start w:val="1"/>
      <w:numFmt w:val="decimal"/>
      <w:lvlText w:val="%1."/>
      <w:lvlJc w:val="left"/>
      <w:pPr>
        <w:tabs>
          <w:tab w:val="left" w:pos="312"/>
        </w:tabs>
      </w:pPr>
    </w:lvl>
  </w:abstractNum>
  <w:abstractNum w:abstractNumId="28">
    <w:nsid w:val="2727DD9B"/>
    <w:multiLevelType w:val="multilevel"/>
    <w:tmpl w:val="2727DD9B"/>
    <w:lvl w:ilvl="0" w:tentative="0">
      <w:start w:val="1"/>
      <w:numFmt w:val="decimal"/>
      <w:pStyle w:val="16"/>
      <w:lvlText w:val="%1、"/>
      <w:lvlJc w:val="left"/>
      <w:pPr>
        <w:tabs>
          <w:tab w:val="left" w:pos="420"/>
        </w:tabs>
        <w:ind w:left="840" w:hanging="420"/>
      </w:pPr>
      <w:rPr>
        <w:rFonts w:ascii="Times New Roman" w:hAnsi="Times New Roman" w:eastAsia="Times New Roman" w:cs="Times New Roman"/>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9">
    <w:nsid w:val="2C30C157"/>
    <w:multiLevelType w:val="singleLevel"/>
    <w:tmpl w:val="2C30C157"/>
    <w:lvl w:ilvl="0" w:tentative="0">
      <w:start w:val="1"/>
      <w:numFmt w:val="decimal"/>
      <w:suff w:val="nothing"/>
      <w:lvlText w:val="（%1）"/>
      <w:lvlJc w:val="left"/>
    </w:lvl>
  </w:abstractNum>
  <w:abstractNum w:abstractNumId="30">
    <w:nsid w:val="319319C9"/>
    <w:multiLevelType w:val="multilevel"/>
    <w:tmpl w:val="319319C9"/>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260"/>
        </w:tabs>
        <w:ind w:left="126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371275F4"/>
    <w:multiLevelType w:val="multilevel"/>
    <w:tmpl w:val="371275F4"/>
    <w:lvl w:ilvl="0" w:tentative="0">
      <w:start w:val="1"/>
      <w:numFmt w:val="japaneseCounting"/>
      <w:lvlText w:val="（%1）"/>
      <w:lvlJc w:val="left"/>
      <w:pPr>
        <w:tabs>
          <w:tab w:val="left" w:pos="720"/>
        </w:tabs>
        <w:ind w:left="720" w:hanging="720"/>
      </w:pPr>
      <w:rPr>
        <w:rFonts w:hint="default"/>
      </w:rPr>
    </w:lvl>
    <w:lvl w:ilvl="1" w:tentative="0">
      <w:start w:val="4"/>
      <w:numFmt w:val="japaneseCounting"/>
      <w:lvlText w:val="第%2条"/>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37402185"/>
    <w:multiLevelType w:val="singleLevel"/>
    <w:tmpl w:val="37402185"/>
    <w:lvl w:ilvl="0" w:tentative="0">
      <w:start w:val="1"/>
      <w:numFmt w:val="decimal"/>
      <w:pStyle w:val="23"/>
      <w:lvlText w:val="%1."/>
      <w:lvlJc w:val="left"/>
      <w:pPr>
        <w:tabs>
          <w:tab w:val="left" w:pos="1200"/>
        </w:tabs>
        <w:ind w:left="1200" w:hanging="360"/>
      </w:pPr>
    </w:lvl>
  </w:abstractNum>
  <w:abstractNum w:abstractNumId="33">
    <w:nsid w:val="52F421C6"/>
    <w:multiLevelType w:val="singleLevel"/>
    <w:tmpl w:val="52F421C6"/>
    <w:lvl w:ilvl="0" w:tentative="0">
      <w:start w:val="1"/>
      <w:numFmt w:val="chineseCounting"/>
      <w:suff w:val="nothing"/>
      <w:lvlText w:val="%1、"/>
      <w:lvlJc w:val="left"/>
      <w:pPr>
        <w:ind w:left="0" w:firstLine="420"/>
      </w:pPr>
      <w:rPr>
        <w:rFonts w:hint="eastAsia"/>
      </w:rPr>
    </w:lvl>
  </w:abstractNum>
  <w:abstractNum w:abstractNumId="34">
    <w:nsid w:val="57289543"/>
    <w:multiLevelType w:val="singleLevel"/>
    <w:tmpl w:val="57289543"/>
    <w:lvl w:ilvl="0" w:tentative="0">
      <w:start w:val="7"/>
      <w:numFmt w:val="decimal"/>
      <w:suff w:val="nothing"/>
      <w:lvlText w:val="%1)"/>
      <w:lvlJc w:val="left"/>
    </w:lvl>
  </w:abstractNum>
  <w:abstractNum w:abstractNumId="35">
    <w:nsid w:val="7FEA2205"/>
    <w:multiLevelType w:val="singleLevel"/>
    <w:tmpl w:val="7FEA2205"/>
    <w:lvl w:ilvl="0" w:tentative="0">
      <w:start w:val="1"/>
      <w:numFmt w:val="decimal"/>
      <w:lvlText w:val="%1."/>
      <w:lvlJc w:val="left"/>
      <w:pPr>
        <w:ind w:left="425" w:hanging="425"/>
      </w:pPr>
      <w:rPr>
        <w:rFonts w:hint="default"/>
      </w:rPr>
    </w:lvl>
  </w:abstractNum>
  <w:num w:numId="1">
    <w:abstractNumId w:val="19"/>
  </w:num>
  <w:num w:numId="2">
    <w:abstractNumId w:val="28"/>
  </w:num>
  <w:num w:numId="3">
    <w:abstractNumId w:val="32"/>
  </w:num>
  <w:num w:numId="4">
    <w:abstractNumId w:val="23"/>
  </w:num>
  <w:num w:numId="5">
    <w:abstractNumId w:val="20"/>
  </w:num>
  <w:num w:numId="6">
    <w:abstractNumId w:val="17"/>
  </w:num>
  <w:num w:numId="7">
    <w:abstractNumId w:val="15"/>
  </w:num>
  <w:num w:numId="8">
    <w:abstractNumId w:val="18"/>
  </w:num>
  <w:num w:numId="9">
    <w:abstractNumId w:val="24"/>
  </w:num>
  <w:num w:numId="10">
    <w:abstractNumId w:val="22"/>
  </w:num>
  <w:num w:numId="11">
    <w:abstractNumId w:val="21"/>
  </w:num>
  <w:num w:numId="12">
    <w:abstractNumId w:val="12"/>
  </w:num>
  <w:num w:numId="13">
    <w:abstractNumId w:val="9"/>
  </w:num>
  <w:num w:numId="14">
    <w:abstractNumId w:val="14"/>
  </w:num>
  <w:num w:numId="15">
    <w:abstractNumId w:val="13"/>
  </w:num>
  <w:num w:numId="16">
    <w:abstractNumId w:val="29"/>
  </w:num>
  <w:num w:numId="17">
    <w:abstractNumId w:val="16"/>
  </w:num>
  <w:num w:numId="18">
    <w:abstractNumId w:val="34"/>
  </w:num>
  <w:num w:numId="19">
    <w:abstractNumId w:val="2"/>
  </w:num>
  <w:num w:numId="20">
    <w:abstractNumId w:val="27"/>
  </w:num>
  <w:num w:numId="21">
    <w:abstractNumId w:val="7"/>
  </w:num>
  <w:num w:numId="22">
    <w:abstractNumId w:val="8"/>
  </w:num>
  <w:num w:numId="23">
    <w:abstractNumId w:val="4"/>
  </w:num>
  <w:num w:numId="24">
    <w:abstractNumId w:val="30"/>
  </w:num>
  <w:num w:numId="25">
    <w:abstractNumId w:val="31"/>
  </w:num>
  <w:num w:numId="26">
    <w:abstractNumId w:val="25"/>
  </w:num>
  <w:num w:numId="27">
    <w:abstractNumId w:val="26"/>
  </w:num>
  <w:num w:numId="28">
    <w:abstractNumId w:val="5"/>
  </w:num>
  <w:num w:numId="29">
    <w:abstractNumId w:val="6"/>
  </w:num>
  <w:num w:numId="30">
    <w:abstractNumId w:val="0"/>
  </w:num>
  <w:num w:numId="31">
    <w:abstractNumId w:val="11"/>
  </w:num>
  <w:num w:numId="32">
    <w:abstractNumId w:val="35"/>
  </w:num>
  <w:num w:numId="33">
    <w:abstractNumId w:val="3"/>
  </w:num>
  <w:num w:numId="34">
    <w:abstractNumId w:val="1"/>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20"/>
  <w:drawingGridVerticalSpacing w:val="163"/>
  <w:doNotShadeFormData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20"/>
    <w:rsid w:val="00010435"/>
    <w:rsid w:val="00027890"/>
    <w:rsid w:val="000310C4"/>
    <w:rsid w:val="00036141"/>
    <w:rsid w:val="00055CD6"/>
    <w:rsid w:val="000656BF"/>
    <w:rsid w:val="00075200"/>
    <w:rsid w:val="000823D9"/>
    <w:rsid w:val="000E3D5A"/>
    <w:rsid w:val="000F69BF"/>
    <w:rsid w:val="00106809"/>
    <w:rsid w:val="00113D74"/>
    <w:rsid w:val="0011439F"/>
    <w:rsid w:val="00114927"/>
    <w:rsid w:val="00135223"/>
    <w:rsid w:val="00145E79"/>
    <w:rsid w:val="00152EFD"/>
    <w:rsid w:val="001617C8"/>
    <w:rsid w:val="00172A27"/>
    <w:rsid w:val="001749FA"/>
    <w:rsid w:val="001B549E"/>
    <w:rsid w:val="001B72E4"/>
    <w:rsid w:val="001D4260"/>
    <w:rsid w:val="001E2687"/>
    <w:rsid w:val="002002A4"/>
    <w:rsid w:val="00201FF9"/>
    <w:rsid w:val="00216ABC"/>
    <w:rsid w:val="002172C9"/>
    <w:rsid w:val="00267764"/>
    <w:rsid w:val="00270A95"/>
    <w:rsid w:val="002908F6"/>
    <w:rsid w:val="00291FAB"/>
    <w:rsid w:val="002C0888"/>
    <w:rsid w:val="002D687C"/>
    <w:rsid w:val="002E58AE"/>
    <w:rsid w:val="00354336"/>
    <w:rsid w:val="003613BD"/>
    <w:rsid w:val="00376337"/>
    <w:rsid w:val="003824C3"/>
    <w:rsid w:val="00391ED7"/>
    <w:rsid w:val="00393E42"/>
    <w:rsid w:val="003C2F31"/>
    <w:rsid w:val="004207FB"/>
    <w:rsid w:val="0044257A"/>
    <w:rsid w:val="0045071E"/>
    <w:rsid w:val="0046288B"/>
    <w:rsid w:val="00465BC3"/>
    <w:rsid w:val="00473DA1"/>
    <w:rsid w:val="004C6280"/>
    <w:rsid w:val="004D2652"/>
    <w:rsid w:val="004E0976"/>
    <w:rsid w:val="005471BA"/>
    <w:rsid w:val="00555F92"/>
    <w:rsid w:val="00563F71"/>
    <w:rsid w:val="005A06DF"/>
    <w:rsid w:val="005B5C14"/>
    <w:rsid w:val="005F37C4"/>
    <w:rsid w:val="006023DD"/>
    <w:rsid w:val="006071A1"/>
    <w:rsid w:val="00636A66"/>
    <w:rsid w:val="00637720"/>
    <w:rsid w:val="006421D2"/>
    <w:rsid w:val="00643C95"/>
    <w:rsid w:val="006529BE"/>
    <w:rsid w:val="00675141"/>
    <w:rsid w:val="006C4ED2"/>
    <w:rsid w:val="006E2C33"/>
    <w:rsid w:val="00722579"/>
    <w:rsid w:val="007266BA"/>
    <w:rsid w:val="0075111E"/>
    <w:rsid w:val="00766AFF"/>
    <w:rsid w:val="00796F26"/>
    <w:rsid w:val="007A6701"/>
    <w:rsid w:val="007B21FC"/>
    <w:rsid w:val="007B3581"/>
    <w:rsid w:val="007F1FF8"/>
    <w:rsid w:val="007F2B89"/>
    <w:rsid w:val="00821042"/>
    <w:rsid w:val="00821BD7"/>
    <w:rsid w:val="00835AD1"/>
    <w:rsid w:val="00847835"/>
    <w:rsid w:val="008A0878"/>
    <w:rsid w:val="008B5078"/>
    <w:rsid w:val="008B52E4"/>
    <w:rsid w:val="008C4084"/>
    <w:rsid w:val="008C4968"/>
    <w:rsid w:val="008E129D"/>
    <w:rsid w:val="008E4970"/>
    <w:rsid w:val="009009BC"/>
    <w:rsid w:val="00904619"/>
    <w:rsid w:val="009229CB"/>
    <w:rsid w:val="009422CE"/>
    <w:rsid w:val="00944D1A"/>
    <w:rsid w:val="00951A8F"/>
    <w:rsid w:val="009B27B4"/>
    <w:rsid w:val="009B4251"/>
    <w:rsid w:val="009C6B18"/>
    <w:rsid w:val="009E2C75"/>
    <w:rsid w:val="009F7268"/>
    <w:rsid w:val="00A03228"/>
    <w:rsid w:val="00A11A47"/>
    <w:rsid w:val="00A37D41"/>
    <w:rsid w:val="00A52F6D"/>
    <w:rsid w:val="00A60593"/>
    <w:rsid w:val="00A752A6"/>
    <w:rsid w:val="00A82229"/>
    <w:rsid w:val="00A975B4"/>
    <w:rsid w:val="00AA7D8C"/>
    <w:rsid w:val="00AB4015"/>
    <w:rsid w:val="00AC7712"/>
    <w:rsid w:val="00B04B0E"/>
    <w:rsid w:val="00B16495"/>
    <w:rsid w:val="00B225FD"/>
    <w:rsid w:val="00B248DA"/>
    <w:rsid w:val="00B26C5A"/>
    <w:rsid w:val="00B50EA0"/>
    <w:rsid w:val="00B71A50"/>
    <w:rsid w:val="00B74DE3"/>
    <w:rsid w:val="00B818AE"/>
    <w:rsid w:val="00B96173"/>
    <w:rsid w:val="00BB48AD"/>
    <w:rsid w:val="00BB6F89"/>
    <w:rsid w:val="00BC02E2"/>
    <w:rsid w:val="00BF09ED"/>
    <w:rsid w:val="00BF27E1"/>
    <w:rsid w:val="00C00F5A"/>
    <w:rsid w:val="00C25C61"/>
    <w:rsid w:val="00C40AF8"/>
    <w:rsid w:val="00C61390"/>
    <w:rsid w:val="00C9061D"/>
    <w:rsid w:val="00C97323"/>
    <w:rsid w:val="00CB45F9"/>
    <w:rsid w:val="00CC3CDE"/>
    <w:rsid w:val="00CD0AE3"/>
    <w:rsid w:val="00CD3B80"/>
    <w:rsid w:val="00D17FB1"/>
    <w:rsid w:val="00D31F0D"/>
    <w:rsid w:val="00D34EDF"/>
    <w:rsid w:val="00D35C22"/>
    <w:rsid w:val="00D954DE"/>
    <w:rsid w:val="00DB7E8A"/>
    <w:rsid w:val="00E023D0"/>
    <w:rsid w:val="00E438D2"/>
    <w:rsid w:val="00E53F8C"/>
    <w:rsid w:val="00E61200"/>
    <w:rsid w:val="00E63FBE"/>
    <w:rsid w:val="00E80F9B"/>
    <w:rsid w:val="00E90F29"/>
    <w:rsid w:val="00EB1ABE"/>
    <w:rsid w:val="00EB4346"/>
    <w:rsid w:val="00ED1779"/>
    <w:rsid w:val="00EE7CA8"/>
    <w:rsid w:val="00EF6736"/>
    <w:rsid w:val="00EF6B76"/>
    <w:rsid w:val="00F014C7"/>
    <w:rsid w:val="00F04A9D"/>
    <w:rsid w:val="00F07594"/>
    <w:rsid w:val="00F31719"/>
    <w:rsid w:val="00F32C3A"/>
    <w:rsid w:val="00F54AFB"/>
    <w:rsid w:val="00FC4DD8"/>
    <w:rsid w:val="00FD40C9"/>
    <w:rsid w:val="01016788"/>
    <w:rsid w:val="010B18A0"/>
    <w:rsid w:val="0158690B"/>
    <w:rsid w:val="01630778"/>
    <w:rsid w:val="01853871"/>
    <w:rsid w:val="01A12C3F"/>
    <w:rsid w:val="01D142D7"/>
    <w:rsid w:val="021F4C81"/>
    <w:rsid w:val="02247F65"/>
    <w:rsid w:val="02414B92"/>
    <w:rsid w:val="028366E4"/>
    <w:rsid w:val="02B5383F"/>
    <w:rsid w:val="02C560C8"/>
    <w:rsid w:val="02F741FF"/>
    <w:rsid w:val="03240B2D"/>
    <w:rsid w:val="03404A6C"/>
    <w:rsid w:val="035324D3"/>
    <w:rsid w:val="036719BE"/>
    <w:rsid w:val="038C71B9"/>
    <w:rsid w:val="03C53166"/>
    <w:rsid w:val="0437435F"/>
    <w:rsid w:val="043948C2"/>
    <w:rsid w:val="0441683D"/>
    <w:rsid w:val="04897AAE"/>
    <w:rsid w:val="048D3C72"/>
    <w:rsid w:val="04946A57"/>
    <w:rsid w:val="049E01CA"/>
    <w:rsid w:val="04AA7A54"/>
    <w:rsid w:val="04DC1E95"/>
    <w:rsid w:val="05056F9C"/>
    <w:rsid w:val="053B507A"/>
    <w:rsid w:val="056B6415"/>
    <w:rsid w:val="056F7E9D"/>
    <w:rsid w:val="05A04252"/>
    <w:rsid w:val="05B531D5"/>
    <w:rsid w:val="05D70893"/>
    <w:rsid w:val="05D879EE"/>
    <w:rsid w:val="05EF3BF5"/>
    <w:rsid w:val="061B4DCC"/>
    <w:rsid w:val="0631131C"/>
    <w:rsid w:val="0684556E"/>
    <w:rsid w:val="07005EC6"/>
    <w:rsid w:val="071F2807"/>
    <w:rsid w:val="074D0B91"/>
    <w:rsid w:val="07667537"/>
    <w:rsid w:val="076F789A"/>
    <w:rsid w:val="0784472B"/>
    <w:rsid w:val="079B0031"/>
    <w:rsid w:val="079F5559"/>
    <w:rsid w:val="07E16810"/>
    <w:rsid w:val="0873640D"/>
    <w:rsid w:val="08783888"/>
    <w:rsid w:val="08C30F20"/>
    <w:rsid w:val="09A37C42"/>
    <w:rsid w:val="09B71979"/>
    <w:rsid w:val="09CA4C87"/>
    <w:rsid w:val="0A1846AD"/>
    <w:rsid w:val="0A334DE9"/>
    <w:rsid w:val="0A3673D1"/>
    <w:rsid w:val="0A747C95"/>
    <w:rsid w:val="0A99628C"/>
    <w:rsid w:val="0AA12C61"/>
    <w:rsid w:val="0AD50B07"/>
    <w:rsid w:val="0B0D3780"/>
    <w:rsid w:val="0B1E5674"/>
    <w:rsid w:val="0C1C4370"/>
    <w:rsid w:val="0C405D06"/>
    <w:rsid w:val="0C5F45C4"/>
    <w:rsid w:val="0C6352C9"/>
    <w:rsid w:val="0C694A19"/>
    <w:rsid w:val="0C6E22F8"/>
    <w:rsid w:val="0C752414"/>
    <w:rsid w:val="0C781DA4"/>
    <w:rsid w:val="0CA4014A"/>
    <w:rsid w:val="0CF9441B"/>
    <w:rsid w:val="0CFE63A4"/>
    <w:rsid w:val="0D0807FC"/>
    <w:rsid w:val="0D33119A"/>
    <w:rsid w:val="0D4A2577"/>
    <w:rsid w:val="0D4D7EA2"/>
    <w:rsid w:val="0D596969"/>
    <w:rsid w:val="0D6D348A"/>
    <w:rsid w:val="0D9C0739"/>
    <w:rsid w:val="0DC77E1F"/>
    <w:rsid w:val="0DE500C7"/>
    <w:rsid w:val="0E30061A"/>
    <w:rsid w:val="0E693E94"/>
    <w:rsid w:val="0EAB15DF"/>
    <w:rsid w:val="0EC12B61"/>
    <w:rsid w:val="0ECB16D0"/>
    <w:rsid w:val="0F554B61"/>
    <w:rsid w:val="0FA658B8"/>
    <w:rsid w:val="0FA725F9"/>
    <w:rsid w:val="0FB125A0"/>
    <w:rsid w:val="1007384E"/>
    <w:rsid w:val="107962EB"/>
    <w:rsid w:val="107D7A08"/>
    <w:rsid w:val="10C4053D"/>
    <w:rsid w:val="10D24A7B"/>
    <w:rsid w:val="10D763F7"/>
    <w:rsid w:val="111A2A3D"/>
    <w:rsid w:val="11244D2A"/>
    <w:rsid w:val="114253E0"/>
    <w:rsid w:val="11461A94"/>
    <w:rsid w:val="115D274C"/>
    <w:rsid w:val="115E3727"/>
    <w:rsid w:val="11B472DB"/>
    <w:rsid w:val="1207493D"/>
    <w:rsid w:val="124364E9"/>
    <w:rsid w:val="12AC1D0D"/>
    <w:rsid w:val="12BA6A0A"/>
    <w:rsid w:val="12C2266E"/>
    <w:rsid w:val="12CB160F"/>
    <w:rsid w:val="12D77FEC"/>
    <w:rsid w:val="12F90EE0"/>
    <w:rsid w:val="1306089F"/>
    <w:rsid w:val="13693296"/>
    <w:rsid w:val="139726F4"/>
    <w:rsid w:val="139B4F53"/>
    <w:rsid w:val="139C2410"/>
    <w:rsid w:val="13CE5FC4"/>
    <w:rsid w:val="143E1AC6"/>
    <w:rsid w:val="144C6770"/>
    <w:rsid w:val="14640363"/>
    <w:rsid w:val="147778EA"/>
    <w:rsid w:val="14943CCC"/>
    <w:rsid w:val="14CD7B2A"/>
    <w:rsid w:val="14F865C3"/>
    <w:rsid w:val="150F189B"/>
    <w:rsid w:val="1517294D"/>
    <w:rsid w:val="15401566"/>
    <w:rsid w:val="15457698"/>
    <w:rsid w:val="154A5906"/>
    <w:rsid w:val="158A75E1"/>
    <w:rsid w:val="1592511B"/>
    <w:rsid w:val="159C567E"/>
    <w:rsid w:val="15A520DA"/>
    <w:rsid w:val="15C0221F"/>
    <w:rsid w:val="15D77617"/>
    <w:rsid w:val="15E6513C"/>
    <w:rsid w:val="15E819C1"/>
    <w:rsid w:val="16554F68"/>
    <w:rsid w:val="165B5F0F"/>
    <w:rsid w:val="166320D6"/>
    <w:rsid w:val="166C4896"/>
    <w:rsid w:val="167B7AAC"/>
    <w:rsid w:val="169B4AF9"/>
    <w:rsid w:val="16DB0595"/>
    <w:rsid w:val="16DF2F08"/>
    <w:rsid w:val="16E051E8"/>
    <w:rsid w:val="16ED26EB"/>
    <w:rsid w:val="17066EDE"/>
    <w:rsid w:val="1713214D"/>
    <w:rsid w:val="17945C52"/>
    <w:rsid w:val="17970727"/>
    <w:rsid w:val="18092CD5"/>
    <w:rsid w:val="180D00A7"/>
    <w:rsid w:val="181A6207"/>
    <w:rsid w:val="18214341"/>
    <w:rsid w:val="18233AC9"/>
    <w:rsid w:val="18336B8F"/>
    <w:rsid w:val="1874792B"/>
    <w:rsid w:val="18C00D35"/>
    <w:rsid w:val="18D847DE"/>
    <w:rsid w:val="18DE453C"/>
    <w:rsid w:val="18E514CE"/>
    <w:rsid w:val="190848C5"/>
    <w:rsid w:val="190A3B3E"/>
    <w:rsid w:val="191474B7"/>
    <w:rsid w:val="192C0FEE"/>
    <w:rsid w:val="19331160"/>
    <w:rsid w:val="19496281"/>
    <w:rsid w:val="196F6FC1"/>
    <w:rsid w:val="19711A8D"/>
    <w:rsid w:val="19992BD1"/>
    <w:rsid w:val="19AB5ACC"/>
    <w:rsid w:val="19CA0483"/>
    <w:rsid w:val="1A6E6871"/>
    <w:rsid w:val="1AC356B2"/>
    <w:rsid w:val="1B006539"/>
    <w:rsid w:val="1B195DEC"/>
    <w:rsid w:val="1B4A6BAE"/>
    <w:rsid w:val="1B4B370A"/>
    <w:rsid w:val="1B537FF8"/>
    <w:rsid w:val="1B767B01"/>
    <w:rsid w:val="1B860FD9"/>
    <w:rsid w:val="1BB05E26"/>
    <w:rsid w:val="1BC40E99"/>
    <w:rsid w:val="1BCA7890"/>
    <w:rsid w:val="1BCB6A47"/>
    <w:rsid w:val="1BFB1779"/>
    <w:rsid w:val="1BFD00F2"/>
    <w:rsid w:val="1C1327C3"/>
    <w:rsid w:val="1C3670C8"/>
    <w:rsid w:val="1C79295A"/>
    <w:rsid w:val="1CA03602"/>
    <w:rsid w:val="1CCC24BC"/>
    <w:rsid w:val="1CE512E6"/>
    <w:rsid w:val="1CEF2480"/>
    <w:rsid w:val="1D18138E"/>
    <w:rsid w:val="1D1A6777"/>
    <w:rsid w:val="1D8A0E3C"/>
    <w:rsid w:val="1DA15E50"/>
    <w:rsid w:val="1DB27B15"/>
    <w:rsid w:val="1DB87E85"/>
    <w:rsid w:val="1DC85751"/>
    <w:rsid w:val="1DC934BA"/>
    <w:rsid w:val="1DEB61F5"/>
    <w:rsid w:val="1E927FD6"/>
    <w:rsid w:val="1E9860A5"/>
    <w:rsid w:val="1ED20877"/>
    <w:rsid w:val="1EF77DC5"/>
    <w:rsid w:val="1F383ACC"/>
    <w:rsid w:val="1F596305"/>
    <w:rsid w:val="1F9062F5"/>
    <w:rsid w:val="1FEB5C6A"/>
    <w:rsid w:val="202209B9"/>
    <w:rsid w:val="20280066"/>
    <w:rsid w:val="20304AD2"/>
    <w:rsid w:val="203B6599"/>
    <w:rsid w:val="204F6722"/>
    <w:rsid w:val="20902778"/>
    <w:rsid w:val="20AF30C4"/>
    <w:rsid w:val="20C20F88"/>
    <w:rsid w:val="20FD5C7C"/>
    <w:rsid w:val="2115662C"/>
    <w:rsid w:val="21361A04"/>
    <w:rsid w:val="214418DF"/>
    <w:rsid w:val="21B95143"/>
    <w:rsid w:val="21C04FD1"/>
    <w:rsid w:val="220D6242"/>
    <w:rsid w:val="22196712"/>
    <w:rsid w:val="22EC4950"/>
    <w:rsid w:val="22ED5F44"/>
    <w:rsid w:val="231A56E2"/>
    <w:rsid w:val="231F7C19"/>
    <w:rsid w:val="232B5FAF"/>
    <w:rsid w:val="233F76E0"/>
    <w:rsid w:val="23481CC9"/>
    <w:rsid w:val="235F1272"/>
    <w:rsid w:val="23AE10BA"/>
    <w:rsid w:val="23E56B32"/>
    <w:rsid w:val="24142B46"/>
    <w:rsid w:val="2433149D"/>
    <w:rsid w:val="246270E4"/>
    <w:rsid w:val="24772C2B"/>
    <w:rsid w:val="248B2E3F"/>
    <w:rsid w:val="24DF22D5"/>
    <w:rsid w:val="257008BE"/>
    <w:rsid w:val="25E86FC2"/>
    <w:rsid w:val="261D7A35"/>
    <w:rsid w:val="263A612D"/>
    <w:rsid w:val="26483965"/>
    <w:rsid w:val="26BB7E4E"/>
    <w:rsid w:val="26D075A8"/>
    <w:rsid w:val="26D17DBC"/>
    <w:rsid w:val="26D24757"/>
    <w:rsid w:val="274D17E4"/>
    <w:rsid w:val="27506176"/>
    <w:rsid w:val="275D4096"/>
    <w:rsid w:val="27A57C3A"/>
    <w:rsid w:val="27D20BC1"/>
    <w:rsid w:val="280553D3"/>
    <w:rsid w:val="280F6C60"/>
    <w:rsid w:val="281253C2"/>
    <w:rsid w:val="28163476"/>
    <w:rsid w:val="286F250E"/>
    <w:rsid w:val="287D2504"/>
    <w:rsid w:val="2886147E"/>
    <w:rsid w:val="28A87389"/>
    <w:rsid w:val="28B81772"/>
    <w:rsid w:val="291176CC"/>
    <w:rsid w:val="291C67BC"/>
    <w:rsid w:val="29573123"/>
    <w:rsid w:val="297F7A53"/>
    <w:rsid w:val="2992095F"/>
    <w:rsid w:val="29AC6651"/>
    <w:rsid w:val="29C4608A"/>
    <w:rsid w:val="29F21662"/>
    <w:rsid w:val="29F51AC1"/>
    <w:rsid w:val="29F51D07"/>
    <w:rsid w:val="29FC30C2"/>
    <w:rsid w:val="2A783D0E"/>
    <w:rsid w:val="2A9C0461"/>
    <w:rsid w:val="2AD0515C"/>
    <w:rsid w:val="2AF16E8B"/>
    <w:rsid w:val="2AFA38F5"/>
    <w:rsid w:val="2B2D4BDC"/>
    <w:rsid w:val="2B767712"/>
    <w:rsid w:val="2BBA7AC6"/>
    <w:rsid w:val="2BFC26B9"/>
    <w:rsid w:val="2C596FFF"/>
    <w:rsid w:val="2CA6566A"/>
    <w:rsid w:val="2CAE7599"/>
    <w:rsid w:val="2CB749B3"/>
    <w:rsid w:val="2CBB6294"/>
    <w:rsid w:val="2CBF39BD"/>
    <w:rsid w:val="2D2E04D4"/>
    <w:rsid w:val="2D3878C4"/>
    <w:rsid w:val="2D3A4057"/>
    <w:rsid w:val="2D994DBE"/>
    <w:rsid w:val="2DD53F02"/>
    <w:rsid w:val="2E0A0263"/>
    <w:rsid w:val="2E73484D"/>
    <w:rsid w:val="2E9A7164"/>
    <w:rsid w:val="2EE1137A"/>
    <w:rsid w:val="2EEB0819"/>
    <w:rsid w:val="2F010E90"/>
    <w:rsid w:val="2F0D5CED"/>
    <w:rsid w:val="2F2C56BA"/>
    <w:rsid w:val="2F356A16"/>
    <w:rsid w:val="2F4614DA"/>
    <w:rsid w:val="2FA00DAE"/>
    <w:rsid w:val="30081603"/>
    <w:rsid w:val="31190489"/>
    <w:rsid w:val="31232963"/>
    <w:rsid w:val="31565C20"/>
    <w:rsid w:val="315857B1"/>
    <w:rsid w:val="31AA1CCC"/>
    <w:rsid w:val="31AB6658"/>
    <w:rsid w:val="31BC3F1B"/>
    <w:rsid w:val="32103723"/>
    <w:rsid w:val="32137CF0"/>
    <w:rsid w:val="32224344"/>
    <w:rsid w:val="32340C69"/>
    <w:rsid w:val="32471F5A"/>
    <w:rsid w:val="3253078F"/>
    <w:rsid w:val="325E3A96"/>
    <w:rsid w:val="32B7356F"/>
    <w:rsid w:val="330C088A"/>
    <w:rsid w:val="332A5E08"/>
    <w:rsid w:val="334F202E"/>
    <w:rsid w:val="33A04007"/>
    <w:rsid w:val="33AF4FB4"/>
    <w:rsid w:val="33DE4357"/>
    <w:rsid w:val="341D5AAB"/>
    <w:rsid w:val="342732F1"/>
    <w:rsid w:val="342B2E3E"/>
    <w:rsid w:val="3454463B"/>
    <w:rsid w:val="346B507B"/>
    <w:rsid w:val="348C37FE"/>
    <w:rsid w:val="34AA4F73"/>
    <w:rsid w:val="34F52FDD"/>
    <w:rsid w:val="352B6C5A"/>
    <w:rsid w:val="35520294"/>
    <w:rsid w:val="357A04F1"/>
    <w:rsid w:val="357C1D84"/>
    <w:rsid w:val="35887A53"/>
    <w:rsid w:val="35B4397E"/>
    <w:rsid w:val="36237D2D"/>
    <w:rsid w:val="363503EB"/>
    <w:rsid w:val="3647637B"/>
    <w:rsid w:val="367F686D"/>
    <w:rsid w:val="36A14C50"/>
    <w:rsid w:val="36B412F5"/>
    <w:rsid w:val="36CC7A6D"/>
    <w:rsid w:val="37076693"/>
    <w:rsid w:val="372B30FF"/>
    <w:rsid w:val="372F768E"/>
    <w:rsid w:val="3742152D"/>
    <w:rsid w:val="375E41FD"/>
    <w:rsid w:val="3765223E"/>
    <w:rsid w:val="376A4278"/>
    <w:rsid w:val="377870B5"/>
    <w:rsid w:val="377D5E16"/>
    <w:rsid w:val="377E65D4"/>
    <w:rsid w:val="37872B44"/>
    <w:rsid w:val="379F77DA"/>
    <w:rsid w:val="37A7041E"/>
    <w:rsid w:val="37A80A27"/>
    <w:rsid w:val="386D019E"/>
    <w:rsid w:val="38894B13"/>
    <w:rsid w:val="38DD791D"/>
    <w:rsid w:val="3920221B"/>
    <w:rsid w:val="39334BFF"/>
    <w:rsid w:val="39B565E1"/>
    <w:rsid w:val="39D4235F"/>
    <w:rsid w:val="3A257802"/>
    <w:rsid w:val="3A606A76"/>
    <w:rsid w:val="3A921749"/>
    <w:rsid w:val="3AA81B41"/>
    <w:rsid w:val="3B143086"/>
    <w:rsid w:val="3B1A2D8C"/>
    <w:rsid w:val="3B4042AB"/>
    <w:rsid w:val="3B66210B"/>
    <w:rsid w:val="3B692DD3"/>
    <w:rsid w:val="3B972AF7"/>
    <w:rsid w:val="3BB70D15"/>
    <w:rsid w:val="3BC91BB9"/>
    <w:rsid w:val="3C120308"/>
    <w:rsid w:val="3C42650A"/>
    <w:rsid w:val="3C762DF2"/>
    <w:rsid w:val="3C7D1D40"/>
    <w:rsid w:val="3C9B51F8"/>
    <w:rsid w:val="3D101034"/>
    <w:rsid w:val="3D544EBB"/>
    <w:rsid w:val="3E8A1A02"/>
    <w:rsid w:val="3E8E765E"/>
    <w:rsid w:val="3EA9393D"/>
    <w:rsid w:val="3EAD0498"/>
    <w:rsid w:val="3EC56D78"/>
    <w:rsid w:val="3EC7715A"/>
    <w:rsid w:val="3ED16A4F"/>
    <w:rsid w:val="3EDC543E"/>
    <w:rsid w:val="3EF75B65"/>
    <w:rsid w:val="3EFB570C"/>
    <w:rsid w:val="3F2B7413"/>
    <w:rsid w:val="3F5871FB"/>
    <w:rsid w:val="3F8E35DC"/>
    <w:rsid w:val="3F8F5DC2"/>
    <w:rsid w:val="3FA46F4F"/>
    <w:rsid w:val="3FB00475"/>
    <w:rsid w:val="3FBF5991"/>
    <w:rsid w:val="3FE10717"/>
    <w:rsid w:val="40023F34"/>
    <w:rsid w:val="40181902"/>
    <w:rsid w:val="40411288"/>
    <w:rsid w:val="404742BD"/>
    <w:rsid w:val="40E21CB8"/>
    <w:rsid w:val="410F31C3"/>
    <w:rsid w:val="41344AAB"/>
    <w:rsid w:val="41550C30"/>
    <w:rsid w:val="41875FCE"/>
    <w:rsid w:val="418773BD"/>
    <w:rsid w:val="4190424D"/>
    <w:rsid w:val="41F94DC7"/>
    <w:rsid w:val="41FA3A29"/>
    <w:rsid w:val="42137C42"/>
    <w:rsid w:val="422E57D7"/>
    <w:rsid w:val="42555DF7"/>
    <w:rsid w:val="42A27001"/>
    <w:rsid w:val="42C507A4"/>
    <w:rsid w:val="42F07508"/>
    <w:rsid w:val="43270B23"/>
    <w:rsid w:val="43366434"/>
    <w:rsid w:val="434A0913"/>
    <w:rsid w:val="436A64E9"/>
    <w:rsid w:val="43711057"/>
    <w:rsid w:val="439C4F5E"/>
    <w:rsid w:val="43E630D7"/>
    <w:rsid w:val="43F02783"/>
    <w:rsid w:val="44656E26"/>
    <w:rsid w:val="44786783"/>
    <w:rsid w:val="449457D3"/>
    <w:rsid w:val="44BE5C95"/>
    <w:rsid w:val="450018DF"/>
    <w:rsid w:val="450F2BC2"/>
    <w:rsid w:val="451D2C75"/>
    <w:rsid w:val="454746DD"/>
    <w:rsid w:val="455367B2"/>
    <w:rsid w:val="455F10D7"/>
    <w:rsid w:val="456355DA"/>
    <w:rsid w:val="459C4648"/>
    <w:rsid w:val="45A02EDD"/>
    <w:rsid w:val="45E61BCA"/>
    <w:rsid w:val="4638018C"/>
    <w:rsid w:val="46416C3D"/>
    <w:rsid w:val="46433285"/>
    <w:rsid w:val="46526D41"/>
    <w:rsid w:val="46584865"/>
    <w:rsid w:val="468200E4"/>
    <w:rsid w:val="469815BE"/>
    <w:rsid w:val="46B27CB1"/>
    <w:rsid w:val="46D34E98"/>
    <w:rsid w:val="47001117"/>
    <w:rsid w:val="47246805"/>
    <w:rsid w:val="47492E75"/>
    <w:rsid w:val="474F7F9F"/>
    <w:rsid w:val="475F3AC1"/>
    <w:rsid w:val="479A2ED2"/>
    <w:rsid w:val="47C13542"/>
    <w:rsid w:val="48113D01"/>
    <w:rsid w:val="484C7B11"/>
    <w:rsid w:val="485E0A04"/>
    <w:rsid w:val="48761BE3"/>
    <w:rsid w:val="48A4548A"/>
    <w:rsid w:val="48A57E1F"/>
    <w:rsid w:val="48DE3BBF"/>
    <w:rsid w:val="491D19DF"/>
    <w:rsid w:val="49304CB2"/>
    <w:rsid w:val="496F6EBE"/>
    <w:rsid w:val="49814F4C"/>
    <w:rsid w:val="49A364F7"/>
    <w:rsid w:val="49C4569B"/>
    <w:rsid w:val="4A090DC7"/>
    <w:rsid w:val="4A14567E"/>
    <w:rsid w:val="4A1E6180"/>
    <w:rsid w:val="4A2308FE"/>
    <w:rsid w:val="4A287AB1"/>
    <w:rsid w:val="4A5133EE"/>
    <w:rsid w:val="4A915C19"/>
    <w:rsid w:val="4A955A49"/>
    <w:rsid w:val="4A9C5501"/>
    <w:rsid w:val="4AD80F53"/>
    <w:rsid w:val="4B2C75A6"/>
    <w:rsid w:val="4B2F25FD"/>
    <w:rsid w:val="4BB15678"/>
    <w:rsid w:val="4BB76960"/>
    <w:rsid w:val="4BD03593"/>
    <w:rsid w:val="4BD63363"/>
    <w:rsid w:val="4BD87666"/>
    <w:rsid w:val="4BE6691C"/>
    <w:rsid w:val="4BF467F9"/>
    <w:rsid w:val="4BF83E44"/>
    <w:rsid w:val="4C276C17"/>
    <w:rsid w:val="4C850277"/>
    <w:rsid w:val="4C9904F2"/>
    <w:rsid w:val="4D354FF0"/>
    <w:rsid w:val="4D4C32B8"/>
    <w:rsid w:val="4DBB048A"/>
    <w:rsid w:val="4DE07DE4"/>
    <w:rsid w:val="4E0D5D14"/>
    <w:rsid w:val="4E2F45C0"/>
    <w:rsid w:val="4E363F2F"/>
    <w:rsid w:val="4EA546F0"/>
    <w:rsid w:val="4EAF3AED"/>
    <w:rsid w:val="4EB0019E"/>
    <w:rsid w:val="4ECB1385"/>
    <w:rsid w:val="4ED32851"/>
    <w:rsid w:val="4ED35762"/>
    <w:rsid w:val="4EF5014E"/>
    <w:rsid w:val="4F235A8E"/>
    <w:rsid w:val="4F33554E"/>
    <w:rsid w:val="4F7B292B"/>
    <w:rsid w:val="4FDC58FD"/>
    <w:rsid w:val="4FDE1C0C"/>
    <w:rsid w:val="50202BC7"/>
    <w:rsid w:val="50216FE4"/>
    <w:rsid w:val="50614DD7"/>
    <w:rsid w:val="506B628A"/>
    <w:rsid w:val="50787CFE"/>
    <w:rsid w:val="50AE1AE4"/>
    <w:rsid w:val="51167E7F"/>
    <w:rsid w:val="51390032"/>
    <w:rsid w:val="515C74D2"/>
    <w:rsid w:val="51652C0F"/>
    <w:rsid w:val="518D4538"/>
    <w:rsid w:val="51960DFD"/>
    <w:rsid w:val="51FD0367"/>
    <w:rsid w:val="52377D55"/>
    <w:rsid w:val="52984624"/>
    <w:rsid w:val="52F10B24"/>
    <w:rsid w:val="534A2585"/>
    <w:rsid w:val="53921453"/>
    <w:rsid w:val="53A31787"/>
    <w:rsid w:val="53E637C7"/>
    <w:rsid w:val="53E8647E"/>
    <w:rsid w:val="53F45929"/>
    <w:rsid w:val="53FC0907"/>
    <w:rsid w:val="5468198B"/>
    <w:rsid w:val="549A0B06"/>
    <w:rsid w:val="54A655A6"/>
    <w:rsid w:val="54EB74E4"/>
    <w:rsid w:val="55284AD7"/>
    <w:rsid w:val="5530324E"/>
    <w:rsid w:val="55457E29"/>
    <w:rsid w:val="555B0657"/>
    <w:rsid w:val="556032BE"/>
    <w:rsid w:val="55B86023"/>
    <w:rsid w:val="55FF3036"/>
    <w:rsid w:val="56213505"/>
    <w:rsid w:val="56292705"/>
    <w:rsid w:val="5632227A"/>
    <w:rsid w:val="564E3203"/>
    <w:rsid w:val="565E0F3B"/>
    <w:rsid w:val="57374E0B"/>
    <w:rsid w:val="57444728"/>
    <w:rsid w:val="575B090B"/>
    <w:rsid w:val="57926FF9"/>
    <w:rsid w:val="57E738F8"/>
    <w:rsid w:val="57EB5B27"/>
    <w:rsid w:val="57EC2D60"/>
    <w:rsid w:val="58263426"/>
    <w:rsid w:val="583C0E12"/>
    <w:rsid w:val="58A14304"/>
    <w:rsid w:val="58A3772F"/>
    <w:rsid w:val="58CC5EFE"/>
    <w:rsid w:val="58D7116C"/>
    <w:rsid w:val="58FB3B6A"/>
    <w:rsid w:val="59205FDE"/>
    <w:rsid w:val="59393A95"/>
    <w:rsid w:val="594D3E46"/>
    <w:rsid w:val="59693F87"/>
    <w:rsid w:val="59B42F07"/>
    <w:rsid w:val="59BB77BA"/>
    <w:rsid w:val="5A282634"/>
    <w:rsid w:val="5A2C4220"/>
    <w:rsid w:val="5A316507"/>
    <w:rsid w:val="5A497C34"/>
    <w:rsid w:val="5A4C0E52"/>
    <w:rsid w:val="5A7B33E5"/>
    <w:rsid w:val="5A8C664D"/>
    <w:rsid w:val="5A983884"/>
    <w:rsid w:val="5AC20EBF"/>
    <w:rsid w:val="5ADF42CD"/>
    <w:rsid w:val="5B3846E5"/>
    <w:rsid w:val="5B4377F2"/>
    <w:rsid w:val="5B5C5E93"/>
    <w:rsid w:val="5B5E3394"/>
    <w:rsid w:val="5B74024A"/>
    <w:rsid w:val="5B792560"/>
    <w:rsid w:val="5BA172F8"/>
    <w:rsid w:val="5BB151A5"/>
    <w:rsid w:val="5BB6027C"/>
    <w:rsid w:val="5BBB47C2"/>
    <w:rsid w:val="5BF62976"/>
    <w:rsid w:val="5C16597D"/>
    <w:rsid w:val="5C707C6C"/>
    <w:rsid w:val="5C972883"/>
    <w:rsid w:val="5C9E2C36"/>
    <w:rsid w:val="5CB45D9D"/>
    <w:rsid w:val="5CC6320E"/>
    <w:rsid w:val="5CC76C7C"/>
    <w:rsid w:val="5CF36024"/>
    <w:rsid w:val="5CFF01AA"/>
    <w:rsid w:val="5D1344DD"/>
    <w:rsid w:val="5D584CD3"/>
    <w:rsid w:val="5D7B6EDD"/>
    <w:rsid w:val="5D806796"/>
    <w:rsid w:val="5D827D40"/>
    <w:rsid w:val="5DC43C07"/>
    <w:rsid w:val="5DCA3A55"/>
    <w:rsid w:val="5DCD3255"/>
    <w:rsid w:val="5E33770D"/>
    <w:rsid w:val="5E532ADD"/>
    <w:rsid w:val="5E610B28"/>
    <w:rsid w:val="5E6A2BD6"/>
    <w:rsid w:val="5E91320F"/>
    <w:rsid w:val="5E915A7A"/>
    <w:rsid w:val="5EA33A97"/>
    <w:rsid w:val="5ED134B6"/>
    <w:rsid w:val="5EF55DBA"/>
    <w:rsid w:val="5F6B1358"/>
    <w:rsid w:val="5FC866E5"/>
    <w:rsid w:val="60090629"/>
    <w:rsid w:val="60413F7F"/>
    <w:rsid w:val="606A3C6B"/>
    <w:rsid w:val="609B5019"/>
    <w:rsid w:val="60B4769E"/>
    <w:rsid w:val="610242F6"/>
    <w:rsid w:val="6119401A"/>
    <w:rsid w:val="611D2CA6"/>
    <w:rsid w:val="61200642"/>
    <w:rsid w:val="61652DB1"/>
    <w:rsid w:val="61970BE7"/>
    <w:rsid w:val="620A3859"/>
    <w:rsid w:val="62204E0F"/>
    <w:rsid w:val="62207D5C"/>
    <w:rsid w:val="623A64B8"/>
    <w:rsid w:val="624063A3"/>
    <w:rsid w:val="62594B69"/>
    <w:rsid w:val="62845968"/>
    <w:rsid w:val="62B35B81"/>
    <w:rsid w:val="62B75EDD"/>
    <w:rsid w:val="62C01D55"/>
    <w:rsid w:val="62C92F2D"/>
    <w:rsid w:val="62D93169"/>
    <w:rsid w:val="631D5B18"/>
    <w:rsid w:val="631E201F"/>
    <w:rsid w:val="63320961"/>
    <w:rsid w:val="63577D60"/>
    <w:rsid w:val="636514C6"/>
    <w:rsid w:val="636F701B"/>
    <w:rsid w:val="6382662F"/>
    <w:rsid w:val="63C95202"/>
    <w:rsid w:val="63CB4107"/>
    <w:rsid w:val="64014FA8"/>
    <w:rsid w:val="64090834"/>
    <w:rsid w:val="64116EAE"/>
    <w:rsid w:val="641B4757"/>
    <w:rsid w:val="64272A3B"/>
    <w:rsid w:val="6467063D"/>
    <w:rsid w:val="648F4A0E"/>
    <w:rsid w:val="64937E71"/>
    <w:rsid w:val="6495646A"/>
    <w:rsid w:val="64FA320D"/>
    <w:rsid w:val="65B841DE"/>
    <w:rsid w:val="65CA03C9"/>
    <w:rsid w:val="65E1661E"/>
    <w:rsid w:val="660918F9"/>
    <w:rsid w:val="663C1302"/>
    <w:rsid w:val="665F0112"/>
    <w:rsid w:val="669A5886"/>
    <w:rsid w:val="66BF54E4"/>
    <w:rsid w:val="67101119"/>
    <w:rsid w:val="67151BB5"/>
    <w:rsid w:val="67400D4D"/>
    <w:rsid w:val="677A414A"/>
    <w:rsid w:val="67C952B3"/>
    <w:rsid w:val="68720AE2"/>
    <w:rsid w:val="68AA7215"/>
    <w:rsid w:val="68ED6911"/>
    <w:rsid w:val="6903642B"/>
    <w:rsid w:val="690F1870"/>
    <w:rsid w:val="692F5E27"/>
    <w:rsid w:val="69466675"/>
    <w:rsid w:val="698C2B7F"/>
    <w:rsid w:val="69AB5D7A"/>
    <w:rsid w:val="69F575F2"/>
    <w:rsid w:val="6A4C7335"/>
    <w:rsid w:val="6A545ADB"/>
    <w:rsid w:val="6A5D05BD"/>
    <w:rsid w:val="6A6B273C"/>
    <w:rsid w:val="6A703222"/>
    <w:rsid w:val="6AAA18E6"/>
    <w:rsid w:val="6AC938A9"/>
    <w:rsid w:val="6B2F05BC"/>
    <w:rsid w:val="6B435167"/>
    <w:rsid w:val="6B9F295C"/>
    <w:rsid w:val="6BB237C9"/>
    <w:rsid w:val="6BDF1336"/>
    <w:rsid w:val="6C3161F1"/>
    <w:rsid w:val="6C3745DF"/>
    <w:rsid w:val="6C6253EB"/>
    <w:rsid w:val="6C8F3EF6"/>
    <w:rsid w:val="6CAD55CC"/>
    <w:rsid w:val="6CBE1616"/>
    <w:rsid w:val="6CC15F94"/>
    <w:rsid w:val="6D0C01A9"/>
    <w:rsid w:val="6D493A0A"/>
    <w:rsid w:val="6D551BE3"/>
    <w:rsid w:val="6D8E2C9C"/>
    <w:rsid w:val="6DAD51A4"/>
    <w:rsid w:val="6E017D0E"/>
    <w:rsid w:val="6E1E1DB6"/>
    <w:rsid w:val="6E3F4BAC"/>
    <w:rsid w:val="6EA04E08"/>
    <w:rsid w:val="6EAA18F7"/>
    <w:rsid w:val="6EC25730"/>
    <w:rsid w:val="6ECF710B"/>
    <w:rsid w:val="6EEE5D94"/>
    <w:rsid w:val="6F0B5A13"/>
    <w:rsid w:val="6F62521C"/>
    <w:rsid w:val="6FC26F58"/>
    <w:rsid w:val="6FD761EC"/>
    <w:rsid w:val="6FF1085F"/>
    <w:rsid w:val="70750A7A"/>
    <w:rsid w:val="70991D59"/>
    <w:rsid w:val="709A5C21"/>
    <w:rsid w:val="70D02722"/>
    <w:rsid w:val="714B6CD7"/>
    <w:rsid w:val="71D8215F"/>
    <w:rsid w:val="71DF1D07"/>
    <w:rsid w:val="71FB7CB1"/>
    <w:rsid w:val="720D209A"/>
    <w:rsid w:val="7221044F"/>
    <w:rsid w:val="723126FD"/>
    <w:rsid w:val="724C22E8"/>
    <w:rsid w:val="725F0F01"/>
    <w:rsid w:val="729C5CE1"/>
    <w:rsid w:val="729D5E1F"/>
    <w:rsid w:val="72E72EAA"/>
    <w:rsid w:val="7331658B"/>
    <w:rsid w:val="733C6C97"/>
    <w:rsid w:val="734B4A4B"/>
    <w:rsid w:val="734C70B6"/>
    <w:rsid w:val="73560C2B"/>
    <w:rsid w:val="735E4E1D"/>
    <w:rsid w:val="737102B9"/>
    <w:rsid w:val="7388314F"/>
    <w:rsid w:val="73CB394C"/>
    <w:rsid w:val="73D51780"/>
    <w:rsid w:val="73F006A6"/>
    <w:rsid w:val="73F022C4"/>
    <w:rsid w:val="74071758"/>
    <w:rsid w:val="741425AC"/>
    <w:rsid w:val="7463178E"/>
    <w:rsid w:val="746371B3"/>
    <w:rsid w:val="747A43C9"/>
    <w:rsid w:val="75397634"/>
    <w:rsid w:val="75595BE3"/>
    <w:rsid w:val="757606EF"/>
    <w:rsid w:val="7615419A"/>
    <w:rsid w:val="76172D6A"/>
    <w:rsid w:val="761A409E"/>
    <w:rsid w:val="762F02D7"/>
    <w:rsid w:val="763D7340"/>
    <w:rsid w:val="76645323"/>
    <w:rsid w:val="767A6C09"/>
    <w:rsid w:val="76880BA0"/>
    <w:rsid w:val="768C2564"/>
    <w:rsid w:val="76BA43D5"/>
    <w:rsid w:val="76BE21DC"/>
    <w:rsid w:val="76CD5B13"/>
    <w:rsid w:val="76EB41A9"/>
    <w:rsid w:val="76F71295"/>
    <w:rsid w:val="7706359E"/>
    <w:rsid w:val="771A5653"/>
    <w:rsid w:val="7734542F"/>
    <w:rsid w:val="774073C9"/>
    <w:rsid w:val="77460079"/>
    <w:rsid w:val="77567D26"/>
    <w:rsid w:val="775D2B17"/>
    <w:rsid w:val="7760235E"/>
    <w:rsid w:val="77C64121"/>
    <w:rsid w:val="77CD3C5D"/>
    <w:rsid w:val="77FD4667"/>
    <w:rsid w:val="781200C6"/>
    <w:rsid w:val="78150104"/>
    <w:rsid w:val="78C34B69"/>
    <w:rsid w:val="78C7234E"/>
    <w:rsid w:val="791063B8"/>
    <w:rsid w:val="793E7F2E"/>
    <w:rsid w:val="796362D3"/>
    <w:rsid w:val="79827C27"/>
    <w:rsid w:val="798834D2"/>
    <w:rsid w:val="79B07BB3"/>
    <w:rsid w:val="79B7369F"/>
    <w:rsid w:val="79D510F0"/>
    <w:rsid w:val="79ED59B1"/>
    <w:rsid w:val="79F56CDC"/>
    <w:rsid w:val="7A032271"/>
    <w:rsid w:val="7A491583"/>
    <w:rsid w:val="7A5B6EDF"/>
    <w:rsid w:val="7A5D2F7E"/>
    <w:rsid w:val="7A676444"/>
    <w:rsid w:val="7A72534A"/>
    <w:rsid w:val="7A8F7D69"/>
    <w:rsid w:val="7AA27F96"/>
    <w:rsid w:val="7AD44A1D"/>
    <w:rsid w:val="7B137629"/>
    <w:rsid w:val="7B1B29C2"/>
    <w:rsid w:val="7BA57F90"/>
    <w:rsid w:val="7BBC18FF"/>
    <w:rsid w:val="7C100290"/>
    <w:rsid w:val="7C151FE3"/>
    <w:rsid w:val="7C1D63E0"/>
    <w:rsid w:val="7C2925EF"/>
    <w:rsid w:val="7C463AF9"/>
    <w:rsid w:val="7C7654E0"/>
    <w:rsid w:val="7C9D56FC"/>
    <w:rsid w:val="7C9E2AE3"/>
    <w:rsid w:val="7CDE5607"/>
    <w:rsid w:val="7D1819A4"/>
    <w:rsid w:val="7D79413D"/>
    <w:rsid w:val="7D872924"/>
    <w:rsid w:val="7E327A3B"/>
    <w:rsid w:val="7E782BA9"/>
    <w:rsid w:val="7E9213CC"/>
    <w:rsid w:val="7EA926FF"/>
    <w:rsid w:val="7EAA18EA"/>
    <w:rsid w:val="7EC93E9C"/>
    <w:rsid w:val="7EF33F65"/>
    <w:rsid w:val="7EFA1C61"/>
    <w:rsid w:val="7F0300DD"/>
    <w:rsid w:val="7F6C7183"/>
    <w:rsid w:val="7F826632"/>
    <w:rsid w:val="7FA31856"/>
    <w:rsid w:val="7FB2207D"/>
    <w:rsid w:val="7FFA7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styleId="3">
    <w:name w:val="heading 1"/>
    <w:basedOn w:val="1"/>
    <w:next w:val="1"/>
    <w:link w:val="70"/>
    <w:qFormat/>
    <w:uiPriority w:val="0"/>
    <w:pPr>
      <w:outlineLvl w:val="0"/>
    </w:pPr>
  </w:style>
  <w:style w:type="paragraph" w:styleId="4">
    <w:name w:val="heading 2"/>
    <w:basedOn w:val="1"/>
    <w:next w:val="1"/>
    <w:qFormat/>
    <w:uiPriority w:val="0"/>
    <w:pPr>
      <w:outlineLvl w:val="1"/>
    </w:pPr>
    <w:rPr>
      <w:rFonts w:hAnsi="宋体"/>
      <w:b/>
    </w:rPr>
  </w:style>
  <w:style w:type="paragraph" w:styleId="5">
    <w:name w:val="heading 3"/>
    <w:basedOn w:val="1"/>
    <w:next w:val="1"/>
    <w:qFormat/>
    <w:uiPriority w:val="0"/>
    <w:pPr>
      <w:outlineLvl w:val="2"/>
    </w:p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widowControl/>
      <w:tabs>
        <w:tab w:val="left" w:pos="1008"/>
      </w:tabs>
      <w:autoSpaceDE/>
      <w:autoSpaceDN/>
      <w:adjustRightInd/>
      <w:spacing w:before="280" w:after="290" w:line="376" w:lineRule="auto"/>
      <w:ind w:left="1008" w:hanging="1008"/>
      <w:outlineLvl w:val="4"/>
    </w:pPr>
    <w:rPr>
      <w:rFonts w:ascii="Times New Roman"/>
      <w:b/>
      <w:bCs/>
      <w:sz w:val="28"/>
      <w:szCs w:val="28"/>
    </w:rPr>
  </w:style>
  <w:style w:type="paragraph" w:styleId="8">
    <w:name w:val="heading 6"/>
    <w:basedOn w:val="1"/>
    <w:next w:val="1"/>
    <w:qFormat/>
    <w:uiPriority w:val="0"/>
    <w:pPr>
      <w:keepNext/>
      <w:keepLines/>
      <w:widowControl/>
      <w:tabs>
        <w:tab w:val="left" w:pos="1152"/>
      </w:tabs>
      <w:autoSpaceDE/>
      <w:autoSpaceDN/>
      <w:adjustRightInd/>
      <w:spacing w:before="240" w:after="64" w:line="320" w:lineRule="auto"/>
      <w:ind w:left="1152" w:hanging="1152"/>
      <w:outlineLvl w:val="5"/>
    </w:pPr>
    <w:rPr>
      <w:rFonts w:ascii="Arial" w:hAnsi="Arial" w:eastAsia="黑体"/>
      <w:b/>
      <w:bCs/>
    </w:rPr>
  </w:style>
  <w:style w:type="paragraph" w:styleId="9">
    <w:name w:val="heading 7"/>
    <w:basedOn w:val="1"/>
    <w:next w:val="1"/>
    <w:qFormat/>
    <w:uiPriority w:val="0"/>
    <w:pPr>
      <w:keepNext/>
      <w:keepLines/>
      <w:widowControl/>
      <w:tabs>
        <w:tab w:val="left" w:pos="1296"/>
      </w:tabs>
      <w:autoSpaceDE/>
      <w:autoSpaceDN/>
      <w:adjustRightInd/>
      <w:spacing w:before="240" w:after="64" w:line="320" w:lineRule="auto"/>
      <w:ind w:left="1296" w:hanging="1296"/>
      <w:outlineLvl w:val="6"/>
    </w:pPr>
    <w:rPr>
      <w:rFonts w:ascii="Times New Roman"/>
      <w:b/>
      <w:bCs/>
    </w:rPr>
  </w:style>
  <w:style w:type="paragraph" w:styleId="10">
    <w:name w:val="heading 8"/>
    <w:basedOn w:val="1"/>
    <w:next w:val="1"/>
    <w:qFormat/>
    <w:uiPriority w:val="0"/>
    <w:pPr>
      <w:keepNext/>
      <w:keepLines/>
      <w:widowControl/>
      <w:tabs>
        <w:tab w:val="left" w:pos="1440"/>
      </w:tabs>
      <w:autoSpaceDE/>
      <w:autoSpaceDN/>
      <w:adjustRightInd/>
      <w:spacing w:before="240" w:after="64" w:line="320" w:lineRule="auto"/>
      <w:ind w:left="1440" w:hanging="1440"/>
      <w:outlineLvl w:val="7"/>
    </w:pPr>
    <w:rPr>
      <w:rFonts w:ascii="Arial" w:hAnsi="Arial" w:eastAsia="黑体"/>
    </w:rPr>
  </w:style>
  <w:style w:type="paragraph" w:styleId="11">
    <w:name w:val="heading 9"/>
    <w:basedOn w:val="1"/>
    <w:next w:val="1"/>
    <w:qFormat/>
    <w:uiPriority w:val="0"/>
    <w:pPr>
      <w:keepNext/>
      <w:keepLines/>
      <w:widowControl/>
      <w:tabs>
        <w:tab w:val="left" w:pos="1584"/>
      </w:tabs>
      <w:autoSpaceDE/>
      <w:autoSpaceDN/>
      <w:adjustRightInd/>
      <w:spacing w:before="240" w:after="64" w:line="320" w:lineRule="auto"/>
      <w:ind w:left="1584" w:hanging="1584"/>
      <w:outlineLvl w:val="8"/>
    </w:pPr>
    <w:rPr>
      <w:rFonts w:ascii="Arial" w:hAnsi="Arial" w:eastAsia="黑体"/>
      <w:sz w:val="21"/>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12">
    <w:name w:val="toc 7"/>
    <w:basedOn w:val="1"/>
    <w:next w:val="1"/>
    <w:qFormat/>
    <w:uiPriority w:val="0"/>
    <w:pPr>
      <w:ind w:left="1440"/>
    </w:pPr>
    <w:rPr>
      <w:rFonts w:ascii="Calibri" w:cs="Calibri"/>
      <w:sz w:val="18"/>
      <w:szCs w:val="18"/>
    </w:rPr>
  </w:style>
  <w:style w:type="paragraph" w:styleId="13">
    <w:name w:val="Normal Indent"/>
    <w:basedOn w:val="1"/>
    <w:link w:val="76"/>
    <w:qFormat/>
    <w:uiPriority w:val="0"/>
    <w:pPr>
      <w:widowControl/>
      <w:autoSpaceDE/>
      <w:autoSpaceDN/>
      <w:adjustRightInd/>
      <w:ind w:firstLine="420" w:firstLineChars="200"/>
    </w:pPr>
    <w:rPr>
      <w:rFonts w:ascii="Calibri"/>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6"/>
    <w:qFormat/>
    <w:uiPriority w:val="0"/>
    <w:pPr>
      <w:widowControl/>
      <w:numPr>
        <w:ilvl w:val="0"/>
        <w:numId w:val="1"/>
      </w:numPr>
      <w:tabs>
        <w:tab w:val="left" w:pos="420"/>
      </w:tabs>
      <w:adjustRightInd/>
      <w:snapToGrid/>
      <w:ind w:right="720"/>
    </w:pPr>
    <w:rPr>
      <w:rFonts w:ascii="Garamond" w:hAnsi="Garamond"/>
      <w:kern w:val="0"/>
      <w:sz w:val="24"/>
      <w:szCs w:val="20"/>
    </w:rPr>
  </w:style>
  <w:style w:type="paragraph" w:styleId="16">
    <w:name w:val="List"/>
    <w:basedOn w:val="1"/>
    <w:qFormat/>
    <w:uiPriority w:val="0"/>
    <w:pPr>
      <w:numPr>
        <w:ilvl w:val="0"/>
        <w:numId w:val="2"/>
      </w:numPr>
      <w:autoSpaceDE/>
      <w:autoSpaceDN/>
      <w:snapToGrid w:val="0"/>
      <w:spacing w:line="300" w:lineRule="auto"/>
      <w:jc w:val="both"/>
    </w:pPr>
    <w:rPr>
      <w:rFonts w:ascii="Times New Roman"/>
      <w:kern w:val="2"/>
      <w:sz w:val="21"/>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napToGrid w:val="0"/>
      <w:spacing w:before="120" w:line="360" w:lineRule="auto"/>
      <w:jc w:val="both"/>
    </w:pPr>
    <w:rPr>
      <w:rFonts w:ascii="Arial" w:hAnsi="Arial"/>
      <w:snapToGrid w:val="0"/>
      <w:color w:val="000000"/>
      <w:sz w:val="21"/>
      <w:szCs w:val="20"/>
    </w:rPr>
  </w:style>
  <w:style w:type="paragraph" w:styleId="19">
    <w:name w:val="annotation text"/>
    <w:basedOn w:val="1"/>
    <w:qFormat/>
    <w:uiPriority w:val="0"/>
    <w:pPr>
      <w:widowControl/>
      <w:autoSpaceDE/>
      <w:autoSpaceDN/>
      <w:adjustRightInd/>
    </w:pPr>
    <w:rPr>
      <w:rFonts w:ascii="Times New Roman"/>
      <w:sz w:val="21"/>
      <w:szCs w:val="20"/>
    </w:rPr>
  </w:style>
  <w:style w:type="paragraph" w:styleId="20">
    <w:name w:val="Body Text 3"/>
    <w:basedOn w:val="1"/>
    <w:qFormat/>
    <w:uiPriority w:val="0"/>
    <w:pPr>
      <w:ind w:right="-26"/>
      <w:jc w:val="center"/>
    </w:pPr>
    <w:rPr>
      <w:b/>
      <w:bCs/>
      <w:color w:val="3366FF"/>
      <w:kern w:val="2"/>
      <w:sz w:val="52"/>
      <w:szCs w:val="52"/>
      <w:lang w:val="zh-CN"/>
    </w:rPr>
  </w:style>
  <w:style w:type="paragraph" w:styleId="21">
    <w:name w:val="Body Text"/>
    <w:basedOn w:val="1"/>
    <w:next w:val="1"/>
    <w:link w:val="81"/>
    <w:qFormat/>
    <w:uiPriority w:val="0"/>
    <w:pPr>
      <w:ind w:right="-26"/>
      <w:jc w:val="center"/>
    </w:pPr>
    <w:rPr>
      <w:rFonts w:hAnsi="Times New Roman"/>
      <w:b/>
      <w:bCs/>
      <w:kern w:val="2"/>
      <w:sz w:val="84"/>
      <w:szCs w:val="84"/>
      <w:lang w:val="zh-CN"/>
    </w:rPr>
  </w:style>
  <w:style w:type="paragraph" w:styleId="22">
    <w:name w:val="Body Text Indent"/>
    <w:basedOn w:val="1"/>
    <w:qFormat/>
    <w:uiPriority w:val="0"/>
    <w:pPr>
      <w:autoSpaceDE/>
      <w:autoSpaceDN/>
      <w:adjustRightInd/>
      <w:ind w:left="567" w:leftChars="270"/>
      <w:jc w:val="both"/>
    </w:pPr>
    <w:rPr>
      <w:rFonts w:ascii="Times New Roman"/>
      <w:kern w:val="2"/>
      <w:sz w:val="21"/>
      <w:szCs w:val="20"/>
    </w:rPr>
  </w:style>
  <w:style w:type="paragraph" w:styleId="23">
    <w:name w:val="List Number 3"/>
    <w:basedOn w:val="1"/>
    <w:qFormat/>
    <w:uiPriority w:val="0"/>
    <w:pPr>
      <w:numPr>
        <w:ilvl w:val="0"/>
        <w:numId w:val="3"/>
      </w:numPr>
    </w:pPr>
  </w:style>
  <w:style w:type="paragraph" w:styleId="24">
    <w:name w:val="List 2"/>
    <w:basedOn w:val="1"/>
    <w:qFormat/>
    <w:uiPriority w:val="0"/>
    <w:pPr>
      <w:widowControl/>
      <w:autoSpaceDE/>
      <w:autoSpaceDN/>
      <w:adjustRightInd/>
      <w:ind w:left="100" w:leftChars="200" w:hanging="200" w:hangingChars="200"/>
    </w:pPr>
    <w:rPr>
      <w:rFonts w:ascii="Times New Roman"/>
      <w:sz w:val="21"/>
      <w:szCs w:val="20"/>
    </w:rPr>
  </w:style>
  <w:style w:type="paragraph" w:styleId="25">
    <w:name w:val="Block Text"/>
    <w:basedOn w:val="1"/>
    <w:qFormat/>
    <w:uiPriority w:val="0"/>
    <w:pPr>
      <w:spacing w:after="120"/>
      <w:ind w:left="1440" w:leftChars="700" w:right="1440" w:rightChars="700"/>
    </w:pPr>
  </w:style>
  <w:style w:type="paragraph" w:styleId="26">
    <w:name w:val="toc 5"/>
    <w:basedOn w:val="1"/>
    <w:next w:val="1"/>
    <w:qFormat/>
    <w:uiPriority w:val="0"/>
    <w:pPr>
      <w:ind w:left="960"/>
    </w:pPr>
    <w:rPr>
      <w:rFonts w:ascii="Calibri" w:cs="Calibri"/>
      <w:sz w:val="18"/>
      <w:szCs w:val="18"/>
    </w:rPr>
  </w:style>
  <w:style w:type="paragraph" w:styleId="27">
    <w:name w:val="toc 3"/>
    <w:basedOn w:val="1"/>
    <w:next w:val="1"/>
    <w:qFormat/>
    <w:uiPriority w:val="0"/>
    <w:pPr>
      <w:ind w:left="480"/>
    </w:pPr>
    <w:rPr>
      <w:rFonts w:ascii="Calibri" w:cs="Calibri"/>
      <w:i/>
      <w:iCs/>
      <w:sz w:val="20"/>
      <w:szCs w:val="20"/>
    </w:rPr>
  </w:style>
  <w:style w:type="paragraph" w:styleId="28">
    <w:name w:val="Plain Text"/>
    <w:basedOn w:val="1"/>
    <w:next w:val="29"/>
    <w:link w:val="77"/>
    <w:qFormat/>
    <w:uiPriority w:val="0"/>
    <w:pPr>
      <w:autoSpaceDE/>
      <w:autoSpaceDN/>
      <w:adjustRightInd/>
      <w:jc w:val="both"/>
    </w:pPr>
    <w:rPr>
      <w:rFonts w:hAnsi="Courier New"/>
      <w:kern w:val="2"/>
      <w:sz w:val="21"/>
      <w:szCs w:val="20"/>
    </w:rPr>
  </w:style>
  <w:style w:type="paragraph" w:customStyle="1" w:styleId="2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30">
    <w:name w:val="toc 8"/>
    <w:basedOn w:val="1"/>
    <w:next w:val="1"/>
    <w:qFormat/>
    <w:uiPriority w:val="0"/>
    <w:pPr>
      <w:ind w:left="1680"/>
    </w:pPr>
    <w:rPr>
      <w:rFonts w:ascii="Calibri" w:cs="Calibri"/>
      <w:sz w:val="18"/>
      <w:szCs w:val="18"/>
    </w:rPr>
  </w:style>
  <w:style w:type="paragraph" w:styleId="31">
    <w:name w:val="Date"/>
    <w:basedOn w:val="1"/>
    <w:next w:val="1"/>
    <w:qFormat/>
    <w:uiPriority w:val="0"/>
    <w:pPr>
      <w:ind w:left="100" w:leftChars="2500"/>
    </w:pPr>
    <w:rPr>
      <w:b/>
      <w:bCs/>
      <w:kern w:val="2"/>
      <w:sz w:val="21"/>
      <w:szCs w:val="21"/>
      <w:lang w:val="zh-CN"/>
    </w:rPr>
  </w:style>
  <w:style w:type="paragraph" w:styleId="32">
    <w:name w:val="Body Text Indent 2"/>
    <w:basedOn w:val="1"/>
    <w:qFormat/>
    <w:uiPriority w:val="0"/>
    <w:pPr>
      <w:tabs>
        <w:tab w:val="left" w:pos="8640"/>
      </w:tabs>
      <w:autoSpaceDE/>
      <w:autoSpaceDN/>
      <w:adjustRightInd/>
      <w:ind w:left="1260"/>
      <w:jc w:val="both"/>
    </w:pPr>
    <w:rPr>
      <w:kern w:val="2"/>
      <w:sz w:val="21"/>
      <w:szCs w:val="20"/>
    </w:rPr>
  </w:style>
  <w:style w:type="paragraph" w:styleId="33">
    <w:name w:val="Balloon Text"/>
    <w:basedOn w:val="1"/>
    <w:qFormat/>
    <w:uiPriority w:val="0"/>
    <w:pPr>
      <w:autoSpaceDE/>
      <w:autoSpaceDN/>
      <w:adjustRightInd/>
      <w:jc w:val="both"/>
    </w:pPr>
    <w:rPr>
      <w:rFonts w:ascii="Times New Roman"/>
      <w:kern w:val="2"/>
      <w:sz w:val="18"/>
      <w:szCs w:val="18"/>
    </w:rPr>
  </w:style>
  <w:style w:type="paragraph" w:styleId="34">
    <w:name w:val="footer"/>
    <w:basedOn w:val="1"/>
    <w:link w:val="90"/>
    <w:qFormat/>
    <w:uiPriority w:val="0"/>
    <w:pPr>
      <w:tabs>
        <w:tab w:val="center" w:pos="4153"/>
        <w:tab w:val="right" w:pos="8306"/>
      </w:tabs>
      <w:snapToGrid w:val="0"/>
    </w:pPr>
    <w:rPr>
      <w:rFonts w:hAnsi="Times New Roman"/>
      <w:sz w:val="18"/>
      <w:szCs w:val="18"/>
    </w:rPr>
  </w:style>
  <w:style w:type="paragraph" w:styleId="35">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pPr>
    <w:rPr>
      <w:rFonts w:ascii="Calibri" w:cs="Calibri"/>
      <w:b/>
      <w:bCs/>
      <w:caps/>
      <w:sz w:val="20"/>
      <w:szCs w:val="20"/>
    </w:rPr>
  </w:style>
  <w:style w:type="paragraph" w:styleId="37">
    <w:name w:val="toc 4"/>
    <w:basedOn w:val="1"/>
    <w:next w:val="1"/>
    <w:qFormat/>
    <w:uiPriority w:val="0"/>
    <w:pPr>
      <w:ind w:left="720"/>
    </w:pPr>
    <w:rPr>
      <w:rFonts w:ascii="Calibri" w:cs="Calibri"/>
      <w:sz w:val="18"/>
      <w:szCs w:val="18"/>
    </w:rPr>
  </w:style>
  <w:style w:type="paragraph" w:styleId="38">
    <w:name w:val="index heading"/>
    <w:basedOn w:val="1"/>
    <w:next w:val="39"/>
    <w:qFormat/>
    <w:uiPriority w:val="0"/>
    <w:pPr>
      <w:autoSpaceDE/>
      <w:autoSpaceDN/>
      <w:adjustRightInd/>
      <w:jc w:val="both"/>
    </w:pPr>
    <w:rPr>
      <w:rFonts w:ascii="Times New Roman"/>
      <w:kern w:val="2"/>
      <w:sz w:val="21"/>
      <w:szCs w:val="20"/>
    </w:rPr>
  </w:style>
  <w:style w:type="paragraph" w:styleId="39">
    <w:name w:val="index 1"/>
    <w:basedOn w:val="1"/>
    <w:next w:val="1"/>
    <w:qFormat/>
    <w:uiPriority w:val="0"/>
    <w:pPr>
      <w:autoSpaceDE/>
      <w:autoSpaceDN/>
      <w:adjustRightInd/>
      <w:ind w:left="540" w:leftChars="257"/>
      <w:jc w:val="both"/>
    </w:pPr>
    <w:rPr>
      <w:rFonts w:ascii="Arial" w:hAnsi="Arial" w:cs="Arial"/>
      <w:kern w:val="2"/>
      <w:sz w:val="21"/>
    </w:rPr>
  </w:style>
  <w:style w:type="paragraph" w:styleId="40">
    <w:name w:val="Subtitle"/>
    <w:basedOn w:val="1"/>
    <w:link w:val="89"/>
    <w:qFormat/>
    <w:uiPriority w:val="0"/>
    <w:pPr>
      <w:autoSpaceDE/>
      <w:autoSpaceDN/>
      <w:adjustRightInd/>
      <w:spacing w:before="240" w:after="60" w:line="312" w:lineRule="auto"/>
      <w:jc w:val="center"/>
      <w:outlineLvl w:val="1"/>
    </w:pPr>
    <w:rPr>
      <w:rFonts w:ascii="Arial" w:hAnsi="Arial"/>
      <w:b/>
      <w:kern w:val="28"/>
      <w:sz w:val="32"/>
      <w:szCs w:val="20"/>
    </w:rPr>
  </w:style>
  <w:style w:type="paragraph" w:styleId="41">
    <w:name w:val="toc 6"/>
    <w:basedOn w:val="1"/>
    <w:next w:val="1"/>
    <w:qFormat/>
    <w:uiPriority w:val="0"/>
    <w:pPr>
      <w:ind w:left="1200"/>
    </w:pPr>
    <w:rPr>
      <w:rFonts w:ascii="Calibri" w:cs="Calibri"/>
      <w:sz w:val="18"/>
      <w:szCs w:val="18"/>
    </w:rPr>
  </w:style>
  <w:style w:type="paragraph" w:styleId="42">
    <w:name w:val="Body Text Indent 3"/>
    <w:basedOn w:val="1"/>
    <w:qFormat/>
    <w:uiPriority w:val="0"/>
    <w:pPr>
      <w:spacing w:line="360" w:lineRule="auto"/>
      <w:ind w:firstLine="480" w:firstLineChars="200"/>
    </w:pPr>
  </w:style>
  <w:style w:type="paragraph" w:styleId="43">
    <w:name w:val="toc 2"/>
    <w:basedOn w:val="1"/>
    <w:next w:val="1"/>
    <w:qFormat/>
    <w:uiPriority w:val="0"/>
    <w:pPr>
      <w:ind w:left="240"/>
    </w:pPr>
    <w:rPr>
      <w:rFonts w:ascii="Calibri" w:cs="Calibri"/>
      <w:smallCaps/>
      <w:sz w:val="20"/>
      <w:szCs w:val="20"/>
    </w:rPr>
  </w:style>
  <w:style w:type="paragraph" w:styleId="44">
    <w:name w:val="toc 9"/>
    <w:basedOn w:val="1"/>
    <w:next w:val="1"/>
    <w:qFormat/>
    <w:uiPriority w:val="0"/>
    <w:pPr>
      <w:ind w:left="1920"/>
    </w:pPr>
    <w:rPr>
      <w:rFonts w:ascii="Calibri" w:cs="Calibri"/>
      <w:sz w:val="18"/>
      <w:szCs w:val="18"/>
    </w:rPr>
  </w:style>
  <w:style w:type="paragraph" w:styleId="45">
    <w:name w:val="Body Text 2"/>
    <w:basedOn w:val="1"/>
    <w:qFormat/>
    <w:uiPriority w:val="0"/>
    <w:pPr>
      <w:tabs>
        <w:tab w:val="left" w:pos="0"/>
      </w:tabs>
      <w:autoSpaceDE/>
      <w:autoSpaceDN/>
      <w:adjustRightInd/>
      <w:spacing w:line="400" w:lineRule="atLeast"/>
      <w:jc w:val="both"/>
    </w:pPr>
    <w:rPr>
      <w:rFonts w:ascii="Arial" w:hAnsi="Arial"/>
      <w:color w:val="000000"/>
      <w:kern w:val="2"/>
      <w:sz w:val="21"/>
    </w:rPr>
  </w:style>
  <w:style w:type="paragraph" w:styleId="46">
    <w:name w:val="List 4"/>
    <w:basedOn w:val="1"/>
    <w:qFormat/>
    <w:uiPriority w:val="0"/>
    <w:pPr>
      <w:tabs>
        <w:tab w:val="left" w:pos="750"/>
      </w:tabs>
      <w:autoSpaceDE/>
      <w:autoSpaceDN/>
      <w:adjustRightInd/>
      <w:ind w:left="750" w:hanging="750"/>
      <w:jc w:val="both"/>
    </w:pPr>
    <w:rPr>
      <w:rFonts w:ascii="Times New Roman" w:hAnsi="Times New Roman" w:cs="Times New Roman"/>
      <w:b/>
      <w:kern w:val="2"/>
      <w:sz w:val="21"/>
      <w:szCs w:val="20"/>
    </w:rPr>
  </w:style>
  <w:style w:type="paragraph" w:styleId="4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80" w:lineRule="exact"/>
    </w:pPr>
    <w:rPr>
      <w:rFonts w:ascii="Arial" w:hAnsi="Arial" w:cs="Arial"/>
      <w:sz w:val="21"/>
      <w:szCs w:val="21"/>
    </w:rPr>
  </w:style>
  <w:style w:type="paragraph" w:styleId="48">
    <w:name w:val="Normal (Web)"/>
    <w:basedOn w:val="1"/>
    <w:qFormat/>
    <w:uiPriority w:val="0"/>
    <w:pPr>
      <w:widowControl/>
      <w:autoSpaceDE/>
      <w:autoSpaceDN/>
      <w:adjustRightInd/>
      <w:spacing w:before="100" w:beforeAutospacing="1" w:after="100" w:afterAutospacing="1"/>
    </w:pPr>
    <w:rPr>
      <w:rFonts w:hAnsi="宋体"/>
      <w:sz w:val="15"/>
      <w:szCs w:val="15"/>
    </w:rPr>
  </w:style>
  <w:style w:type="paragraph" w:styleId="49">
    <w:name w:val="Title"/>
    <w:basedOn w:val="1"/>
    <w:next w:val="1"/>
    <w:qFormat/>
    <w:uiPriority w:val="0"/>
    <w:pPr>
      <w:numPr>
        <w:ilvl w:val="0"/>
        <w:numId w:val="4"/>
      </w:numPr>
      <w:tabs>
        <w:tab w:val="clear" w:pos="2121"/>
      </w:tabs>
      <w:autoSpaceDE/>
      <w:autoSpaceDN/>
      <w:snapToGrid w:val="0"/>
      <w:spacing w:beforeLines="50" w:afterLines="50"/>
      <w:ind w:left="0" w:firstLine="0"/>
      <w:jc w:val="center"/>
      <w:outlineLvl w:val="0"/>
    </w:pPr>
    <w:rPr>
      <w:rFonts w:ascii="Arial" w:hAnsi="Arial" w:cs="Arial"/>
      <w:b/>
      <w:bCs/>
      <w:kern w:val="2"/>
      <w:sz w:val="52"/>
      <w:szCs w:val="32"/>
    </w:rPr>
  </w:style>
  <w:style w:type="paragraph" w:styleId="50">
    <w:name w:val="annotation subject"/>
    <w:basedOn w:val="19"/>
    <w:next w:val="19"/>
    <w:qFormat/>
    <w:uiPriority w:val="0"/>
    <w:rPr>
      <w:b/>
      <w:bCs/>
    </w:rPr>
  </w:style>
  <w:style w:type="paragraph" w:styleId="51">
    <w:name w:val="Body Text First Indent"/>
    <w:basedOn w:val="21"/>
    <w:qFormat/>
    <w:uiPriority w:val="0"/>
    <w:pPr>
      <w:widowControl/>
      <w:autoSpaceDE/>
      <w:autoSpaceDN/>
      <w:adjustRightInd/>
      <w:spacing w:after="120"/>
      <w:ind w:right="0" w:firstLine="420" w:firstLineChars="100"/>
      <w:jc w:val="left"/>
    </w:pPr>
    <w:rPr>
      <w:rFonts w:ascii="Times New Roman"/>
      <w:b w:val="0"/>
      <w:bCs w:val="0"/>
      <w:kern w:val="0"/>
      <w:sz w:val="21"/>
      <w:szCs w:val="20"/>
      <w:lang w:val="en-US"/>
    </w:rPr>
  </w:style>
  <w:style w:type="paragraph" w:styleId="52">
    <w:name w:val="Body Text First Indent 2"/>
    <w:basedOn w:val="22"/>
    <w:semiHidden/>
    <w:unhideWhenUsed/>
    <w:qFormat/>
    <w:uiPriority w:val="99"/>
    <w:pPr>
      <w:ind w:firstLine="420" w:firstLineChars="200"/>
    </w:p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333333"/>
      <w:u w:val="none"/>
    </w:rPr>
  </w:style>
  <w:style w:type="character" w:styleId="59">
    <w:name w:val="Emphasis"/>
    <w:qFormat/>
    <w:uiPriority w:val="0"/>
    <w:rPr>
      <w:i/>
      <w:iCs/>
    </w:rPr>
  </w:style>
  <w:style w:type="character" w:styleId="60">
    <w:name w:val="Hyperlink"/>
    <w:qFormat/>
    <w:uiPriority w:val="0"/>
    <w:rPr>
      <w:color w:val="333333"/>
      <w:u w:val="none"/>
    </w:rPr>
  </w:style>
  <w:style w:type="character" w:styleId="61">
    <w:name w:val="annotation reference"/>
    <w:qFormat/>
    <w:uiPriority w:val="0"/>
    <w:rPr>
      <w:sz w:val="21"/>
      <w:szCs w:val="21"/>
    </w:rPr>
  </w:style>
  <w:style w:type="paragraph" w:customStyle="1" w:styleId="62">
    <w:name w:val="表格文字"/>
    <w:basedOn w:val="1"/>
    <w:qFormat/>
    <w:uiPriority w:val="0"/>
    <w:pPr>
      <w:autoSpaceDE/>
      <w:autoSpaceDN/>
      <w:adjustRightInd/>
      <w:spacing w:before="25" w:after="25"/>
    </w:pPr>
    <w:rPr>
      <w:rFonts w:ascii="Times New Roman"/>
      <w:bCs/>
      <w:spacing w:val="10"/>
      <w:szCs w:val="20"/>
    </w:rPr>
  </w:style>
  <w:style w:type="character" w:customStyle="1" w:styleId="63">
    <w:name w:val="s1"/>
    <w:qFormat/>
    <w:uiPriority w:val="0"/>
    <w:rPr>
      <w:rFonts w:ascii="Helvetica" w:hAnsi="Helvetica" w:eastAsia="Helvetica" w:cs="Helvetica"/>
      <w:sz w:val="24"/>
      <w:szCs w:val="24"/>
    </w:rPr>
  </w:style>
  <w:style w:type="character" w:customStyle="1" w:styleId="64">
    <w:name w:val="keyfeatures1"/>
    <w:qFormat/>
    <w:uiPriority w:val="0"/>
    <w:rPr>
      <w:rFonts w:hint="default" w:ascii="Arial" w:hAnsi="Arial" w:cs="Arial"/>
      <w:color w:val="003366"/>
      <w:sz w:val="17"/>
      <w:szCs w:val="17"/>
      <w:u w:val="none"/>
    </w:rPr>
  </w:style>
  <w:style w:type="character" w:customStyle="1" w:styleId="65">
    <w:name w:val="小 Char"/>
    <w:qFormat/>
    <w:uiPriority w:val="0"/>
    <w:rPr>
      <w:rFonts w:ascii="宋体" w:hAnsi="Courier New" w:eastAsia="宋体" w:cs="Times New Roman"/>
      <w:kern w:val="2"/>
      <w:sz w:val="21"/>
      <w:lang w:val="en-US" w:eastAsia="zh-CN" w:bidi="ar-SA"/>
    </w:rPr>
  </w:style>
  <w:style w:type="character" w:customStyle="1" w:styleId="66">
    <w:name w:val="纯文本 Char Char"/>
    <w:qFormat/>
    <w:uiPriority w:val="0"/>
    <w:rPr>
      <w:rFonts w:ascii="宋体" w:hAnsi="Courier New" w:eastAsia="宋体"/>
      <w:kern w:val="2"/>
      <w:sz w:val="21"/>
      <w:lang w:val="en-US" w:eastAsia="zh-CN" w:bidi="ar-SA"/>
    </w:rPr>
  </w:style>
  <w:style w:type="character" w:customStyle="1" w:styleId="67">
    <w:name w:val="meuncn1"/>
    <w:qFormat/>
    <w:uiPriority w:val="0"/>
    <w:rPr>
      <w:rFonts w:hint="eastAsia" w:ascii="宋体" w:hAnsi="宋体" w:eastAsia="宋体"/>
      <w:color w:val="666666"/>
      <w:sz w:val="18"/>
      <w:u w:val="none"/>
    </w:rPr>
  </w:style>
  <w:style w:type="character" w:customStyle="1" w:styleId="68">
    <w:name w:val="标题 3.1 Char Char"/>
    <w:link w:val="69"/>
    <w:qFormat/>
    <w:uiPriority w:val="0"/>
    <w:rPr>
      <w:rFonts w:ascii="宋体" w:hAnsi="宋体"/>
      <w:b/>
      <w:bCs/>
      <w:kern w:val="2"/>
      <w:sz w:val="32"/>
      <w:szCs w:val="32"/>
    </w:rPr>
  </w:style>
  <w:style w:type="paragraph" w:customStyle="1" w:styleId="69">
    <w:name w:val="标题 3.1"/>
    <w:basedOn w:val="5"/>
    <w:link w:val="68"/>
    <w:qFormat/>
    <w:uiPriority w:val="0"/>
    <w:pPr>
      <w:keepNext/>
      <w:keepLines/>
      <w:tabs>
        <w:tab w:val="left" w:pos="1440"/>
        <w:tab w:val="left" w:pos="1620"/>
      </w:tabs>
      <w:autoSpaceDE/>
      <w:autoSpaceDN/>
      <w:adjustRightInd/>
      <w:spacing w:before="260" w:after="260" w:line="600" w:lineRule="exact"/>
      <w:jc w:val="both"/>
    </w:pPr>
    <w:rPr>
      <w:rFonts w:hAnsi="宋体"/>
      <w:b/>
      <w:bCs/>
      <w:kern w:val="2"/>
      <w:sz w:val="32"/>
      <w:szCs w:val="32"/>
    </w:rPr>
  </w:style>
  <w:style w:type="character" w:customStyle="1" w:styleId="70">
    <w:name w:val="标题 1 Char"/>
    <w:link w:val="3"/>
    <w:qFormat/>
    <w:uiPriority w:val="0"/>
  </w:style>
  <w:style w:type="character" w:customStyle="1" w:styleId="71">
    <w:name w:val="HTML Markup"/>
    <w:qFormat/>
    <w:uiPriority w:val="0"/>
    <w:rPr>
      <w:rFonts w:ascii="Times New Roman" w:hAnsi="Times New Roman" w:eastAsia="宋体" w:cs="Times New Roman"/>
      <w:vanish/>
      <w:color w:val="FF0000"/>
    </w:rPr>
  </w:style>
  <w:style w:type="character" w:customStyle="1" w:styleId="72">
    <w:name w:val="页脚 Char Char"/>
    <w:qFormat/>
    <w:uiPriority w:val="0"/>
    <w:rPr>
      <w:rFonts w:ascii="宋体"/>
      <w:sz w:val="18"/>
      <w:szCs w:val="18"/>
    </w:rPr>
  </w:style>
  <w:style w:type="character" w:customStyle="1" w:styleId="73">
    <w:name w:val="p105"/>
    <w:basedOn w:val="55"/>
    <w:qFormat/>
    <w:uiPriority w:val="0"/>
  </w:style>
  <w:style w:type="character" w:customStyle="1" w:styleId="74">
    <w:name w:val="正文缩进2格 Char Char"/>
    <w:link w:val="75"/>
    <w:qFormat/>
    <w:uiPriority w:val="0"/>
    <w:rPr>
      <w:rFonts w:ascii="仿宋_GB2312" w:hAnsi="宋体" w:eastAsia="仿宋_GB2312"/>
      <w:kern w:val="2"/>
      <w:sz w:val="31"/>
      <w:szCs w:val="28"/>
      <w:lang w:val="en-US" w:eastAsia="zh-CN" w:bidi="ar-SA"/>
    </w:rPr>
  </w:style>
  <w:style w:type="paragraph" w:customStyle="1" w:styleId="75">
    <w:name w:val="正文缩进2格"/>
    <w:basedOn w:val="1"/>
    <w:link w:val="74"/>
    <w:qFormat/>
    <w:uiPriority w:val="0"/>
    <w:pPr>
      <w:autoSpaceDE/>
      <w:autoSpaceDN/>
      <w:adjustRightInd/>
      <w:spacing w:line="600" w:lineRule="exact"/>
      <w:ind w:firstLine="639" w:firstLineChars="206"/>
      <w:jc w:val="both"/>
    </w:pPr>
    <w:rPr>
      <w:rFonts w:ascii="仿宋_GB2312" w:hAnsi="宋体" w:eastAsia="仿宋_GB2312"/>
      <w:kern w:val="2"/>
      <w:sz w:val="31"/>
      <w:szCs w:val="28"/>
    </w:rPr>
  </w:style>
  <w:style w:type="character" w:customStyle="1" w:styleId="76">
    <w:name w:val="正文缩进 Char"/>
    <w:link w:val="13"/>
    <w:qFormat/>
    <w:uiPriority w:val="0"/>
    <w:rPr>
      <w:rFonts w:eastAsia="宋体"/>
      <w:lang w:val="en-US" w:eastAsia="zh-CN" w:bidi="ar-SA"/>
    </w:rPr>
  </w:style>
  <w:style w:type="character" w:customStyle="1" w:styleId="77">
    <w:name w:val="纯文本 Char"/>
    <w:link w:val="28"/>
    <w:qFormat/>
    <w:uiPriority w:val="0"/>
    <w:rPr>
      <w:rFonts w:ascii="宋体" w:hAnsi="Courier New" w:eastAsia="宋体" w:cs="Times New Roman"/>
      <w:kern w:val="2"/>
      <w:sz w:val="21"/>
      <w:lang w:val="en-US" w:eastAsia="zh-CN" w:bidi="ar-SA"/>
    </w:rPr>
  </w:style>
  <w:style w:type="character" w:customStyle="1" w:styleId="78">
    <w:name w:val="font01"/>
    <w:qFormat/>
    <w:uiPriority w:val="0"/>
    <w:rPr>
      <w:rFonts w:hint="eastAsia" w:ascii="宋体" w:hAnsi="宋体" w:eastAsia="宋体" w:cs="宋体"/>
      <w:color w:val="000000"/>
      <w:sz w:val="24"/>
      <w:szCs w:val="24"/>
      <w:u w:val="none"/>
    </w:rPr>
  </w:style>
  <w:style w:type="character" w:customStyle="1" w:styleId="79">
    <w:name w:val="wctjfont1"/>
    <w:qFormat/>
    <w:uiPriority w:val="0"/>
    <w:rPr>
      <w:sz w:val="18"/>
    </w:rPr>
  </w:style>
  <w:style w:type="character" w:customStyle="1" w:styleId="80">
    <w:name w:val="bold1"/>
    <w:qFormat/>
    <w:uiPriority w:val="0"/>
    <w:rPr>
      <w:sz w:val="32"/>
    </w:rPr>
  </w:style>
  <w:style w:type="character" w:customStyle="1" w:styleId="81">
    <w:name w:val="正文文本 Char"/>
    <w:link w:val="21"/>
    <w:qFormat/>
    <w:uiPriority w:val="0"/>
    <w:rPr>
      <w:rFonts w:ascii="宋体" w:hAnsi="Times New Roman" w:eastAsia="宋体" w:cs="Times New Roman"/>
      <w:b/>
      <w:bCs/>
      <w:kern w:val="2"/>
      <w:sz w:val="84"/>
      <w:szCs w:val="84"/>
      <w:lang w:val="zh-CN" w:eastAsia="zh-CN" w:bidi="ar-SA"/>
    </w:rPr>
  </w:style>
  <w:style w:type="character" w:customStyle="1" w:styleId="82">
    <w:name w:val="DAS正文 Char Char"/>
    <w:qFormat/>
    <w:uiPriority w:val="0"/>
    <w:rPr>
      <w:rFonts w:ascii="Verdana" w:hAnsi="Verdana" w:eastAsia="宋体"/>
      <w:kern w:val="2"/>
      <w:sz w:val="21"/>
      <w:szCs w:val="21"/>
      <w:lang w:val="en-US" w:eastAsia="zh-CN" w:bidi="ar-SA"/>
    </w:rPr>
  </w:style>
  <w:style w:type="character" w:customStyle="1" w:styleId="83">
    <w:name w:val="Highlighted Variable"/>
    <w:qFormat/>
    <w:uiPriority w:val="0"/>
    <w:rPr>
      <w:color w:val="000000"/>
    </w:rPr>
  </w:style>
  <w:style w:type="character" w:customStyle="1" w:styleId="84">
    <w:name w:val="neir1"/>
    <w:qFormat/>
    <w:uiPriority w:val="0"/>
    <w:rPr>
      <w:rFonts w:hint="default" w:ascii="ˎ̥" w:hAnsi="ˎ̥" w:eastAsia="宋体" w:cs="Times New Roman"/>
      <w:color w:val="333333"/>
      <w:sz w:val="21"/>
      <w:szCs w:val="21"/>
      <w:u w:val="none"/>
    </w:rPr>
  </w:style>
  <w:style w:type="character" w:customStyle="1" w:styleId="85">
    <w:name w:val="style61"/>
    <w:qFormat/>
    <w:uiPriority w:val="0"/>
    <w:rPr>
      <w:b/>
      <w:bCs/>
    </w:rPr>
  </w:style>
  <w:style w:type="character" w:customStyle="1" w:styleId="86">
    <w:name w:val="页眉 Char"/>
    <w:link w:val="35"/>
    <w:qFormat/>
    <w:uiPriority w:val="0"/>
    <w:rPr>
      <w:rFonts w:ascii="宋体"/>
      <w:sz w:val="18"/>
      <w:szCs w:val="18"/>
    </w:rPr>
  </w:style>
  <w:style w:type="character" w:customStyle="1" w:styleId="87">
    <w:name w:val="HTML 预设格式 Char"/>
    <w:link w:val="47"/>
    <w:qFormat/>
    <w:uiPriority w:val="0"/>
    <w:rPr>
      <w:rFonts w:ascii="Arial" w:hAnsi="Arial" w:eastAsia="宋体" w:cs="Arial"/>
      <w:sz w:val="21"/>
      <w:szCs w:val="21"/>
      <w:lang w:val="en-US" w:eastAsia="zh-CN" w:bidi="ar-SA"/>
    </w:rPr>
  </w:style>
  <w:style w:type="character" w:customStyle="1" w:styleId="88">
    <w:name w:val="f141"/>
    <w:qFormat/>
    <w:uiPriority w:val="0"/>
    <w:rPr>
      <w:sz w:val="21"/>
      <w:szCs w:val="21"/>
    </w:rPr>
  </w:style>
  <w:style w:type="character" w:customStyle="1" w:styleId="89">
    <w:name w:val="副标题 Char"/>
    <w:link w:val="40"/>
    <w:qFormat/>
    <w:uiPriority w:val="0"/>
    <w:rPr>
      <w:rFonts w:ascii="Arial" w:hAnsi="Arial"/>
      <w:b/>
      <w:kern w:val="28"/>
      <w:sz w:val="32"/>
    </w:rPr>
  </w:style>
  <w:style w:type="character" w:customStyle="1" w:styleId="90">
    <w:name w:val="页脚 Char"/>
    <w:link w:val="34"/>
    <w:qFormat/>
    <w:uiPriority w:val="0"/>
    <w:rPr>
      <w:rFonts w:ascii="宋体" w:hAnsi="Times New Roman" w:eastAsia="宋体" w:cs="Times New Roman"/>
      <w:sz w:val="18"/>
      <w:szCs w:val="18"/>
      <w:lang w:val="en-US" w:eastAsia="zh-CN" w:bidi="ar-SA"/>
    </w:rPr>
  </w:style>
  <w:style w:type="paragraph" w:customStyle="1" w:styleId="91">
    <w:name w:val="技术响应2"/>
    <w:basedOn w:val="1"/>
    <w:qFormat/>
    <w:uiPriority w:val="0"/>
    <w:pPr>
      <w:numPr>
        <w:ilvl w:val="0"/>
        <w:numId w:val="5"/>
      </w:numPr>
      <w:autoSpaceDE/>
      <w:autoSpaceDN/>
      <w:adjustRightInd/>
      <w:jc w:val="both"/>
    </w:pPr>
    <w:rPr>
      <w:rFonts w:hAnsi="宋体"/>
      <w:b/>
      <w:bCs/>
      <w:kern w:val="2"/>
      <w:sz w:val="21"/>
      <w:szCs w:val="20"/>
    </w:rPr>
  </w:style>
  <w:style w:type="paragraph" w:customStyle="1" w:styleId="92">
    <w:name w:val="Bullet"/>
    <w:basedOn w:val="1"/>
    <w:qFormat/>
    <w:uiPriority w:val="0"/>
    <w:pPr>
      <w:numPr>
        <w:ilvl w:val="0"/>
        <w:numId w:val="6"/>
      </w:numPr>
      <w:autoSpaceDE/>
      <w:autoSpaceDN/>
      <w:adjustRightInd/>
      <w:spacing w:line="360" w:lineRule="exact"/>
      <w:jc w:val="both"/>
    </w:pPr>
    <w:rPr>
      <w:rFonts w:ascii="Times New Roman"/>
      <w:kern w:val="2"/>
      <w:szCs w:val="20"/>
    </w:rPr>
  </w:style>
  <w:style w:type="paragraph" w:customStyle="1" w:styleId="93">
    <w:name w:val="普通 (Web)"/>
    <w:basedOn w:val="1"/>
    <w:qFormat/>
    <w:uiPriority w:val="0"/>
    <w:pPr>
      <w:widowControl/>
      <w:autoSpaceDE/>
      <w:autoSpaceDN/>
      <w:adjustRightInd/>
      <w:spacing w:before="100" w:beforeAutospacing="1" w:after="100" w:afterAutospacing="1"/>
    </w:pPr>
    <w:rPr>
      <w:rFonts w:hAnsi="宋体"/>
    </w:rPr>
  </w:style>
  <w:style w:type="paragraph" w:customStyle="1" w:styleId="94">
    <w:name w:val="正文楷 Char"/>
    <w:basedOn w:val="1"/>
    <w:qFormat/>
    <w:uiPriority w:val="0"/>
    <w:pPr>
      <w:autoSpaceDE/>
      <w:autoSpaceDN/>
      <w:adjustRightInd/>
      <w:spacing w:line="500" w:lineRule="exact"/>
      <w:ind w:firstLine="560" w:firstLineChars="200"/>
      <w:jc w:val="both"/>
    </w:pPr>
    <w:rPr>
      <w:rFonts w:ascii="楷体_GB2312" w:hAnsi="楷体_GB2312" w:eastAsia="楷体_GB2312"/>
      <w:kern w:val="2"/>
      <w:sz w:val="28"/>
      <w:szCs w:val="20"/>
    </w:rPr>
  </w:style>
  <w:style w:type="paragraph" w:customStyle="1" w:styleId="95">
    <w:name w:val="Char Char Char Char Char Char1 Char"/>
    <w:basedOn w:val="1"/>
    <w:qFormat/>
    <w:uiPriority w:val="0"/>
    <w:pPr>
      <w:widowControl/>
      <w:autoSpaceDE/>
      <w:autoSpaceDN/>
      <w:adjustRightInd/>
      <w:spacing w:after="160" w:line="240" w:lineRule="exact"/>
    </w:pPr>
    <w:rPr>
      <w:rFonts w:ascii="Arial" w:hAnsi="Arial" w:eastAsia="楷体_GB2312" w:cs="Verdana"/>
      <w:b/>
      <w:lang w:eastAsia="en-US"/>
    </w:rPr>
  </w:style>
  <w:style w:type="paragraph" w:customStyle="1" w:styleId="96">
    <w:name w:val="样式 我的标题 + 两端对齐"/>
    <w:basedOn w:val="3"/>
    <w:qFormat/>
    <w:uiPriority w:val="0"/>
    <w:pPr>
      <w:keepNext/>
      <w:keepLines/>
      <w:autoSpaceDE/>
      <w:autoSpaceDN/>
      <w:adjustRightInd/>
      <w:spacing w:before="340" w:after="330" w:line="578" w:lineRule="auto"/>
      <w:jc w:val="center"/>
    </w:pPr>
    <w:rPr>
      <w:rFonts w:ascii="Times New Roman"/>
      <w:b/>
      <w:bCs/>
      <w:kern w:val="44"/>
      <w:sz w:val="32"/>
      <w:szCs w:val="20"/>
    </w:rPr>
  </w:style>
  <w:style w:type="paragraph" w:customStyle="1" w:styleId="97">
    <w:name w:val="默认段落字体 Para Char"/>
    <w:basedOn w:val="1"/>
    <w:qFormat/>
    <w:uiPriority w:val="0"/>
    <w:pPr>
      <w:autoSpaceDE/>
      <w:autoSpaceDN/>
      <w:spacing w:line="360" w:lineRule="auto"/>
      <w:jc w:val="both"/>
    </w:pPr>
    <w:rPr>
      <w:rFonts w:ascii="Times New Roman"/>
      <w:szCs w:val="20"/>
    </w:rPr>
  </w:style>
  <w:style w:type="paragraph" w:customStyle="1" w:styleId="98">
    <w:name w:val="Char Char Char Char"/>
    <w:basedOn w:val="1"/>
    <w:qFormat/>
    <w:uiPriority w:val="0"/>
    <w:pPr>
      <w:widowControl/>
      <w:autoSpaceDE/>
      <w:autoSpaceDN/>
      <w:adjustRightInd/>
      <w:spacing w:after="160" w:line="240" w:lineRule="exact"/>
    </w:pPr>
    <w:rPr>
      <w:rFonts w:ascii="Verdana" w:hAnsi="Verdana" w:eastAsia="仿宋_GB2312"/>
      <w:szCs w:val="20"/>
      <w:lang w:eastAsia="en-US"/>
    </w:rPr>
  </w:style>
  <w:style w:type="paragraph" w:customStyle="1" w:styleId="99">
    <w:name w:val="TOC 标题1"/>
    <w:basedOn w:val="3"/>
    <w:next w:val="1"/>
    <w:qFormat/>
    <w:uiPriority w:val="0"/>
    <w:pPr>
      <w:keepNext/>
      <w:keepLines/>
      <w:widowControl/>
      <w:autoSpaceDE/>
      <w:autoSpaceDN/>
      <w:adjustRightInd/>
      <w:spacing w:before="480" w:line="276" w:lineRule="auto"/>
      <w:outlineLvl w:val="9"/>
    </w:pPr>
    <w:rPr>
      <w:rFonts w:ascii="Cambria" w:hAnsi="Cambria" w:cs="Times New Roman"/>
      <w:b/>
      <w:bCs/>
      <w:color w:val="365F91"/>
      <w:sz w:val="28"/>
      <w:szCs w:val="28"/>
    </w:rPr>
  </w:style>
  <w:style w:type="paragraph" w:customStyle="1" w:styleId="100">
    <w:name w:val="_Style 3"/>
    <w:basedOn w:val="1"/>
    <w:qFormat/>
    <w:uiPriority w:val="0"/>
    <w:pPr>
      <w:adjustRightInd/>
      <w:ind w:firstLine="420" w:firstLineChars="200"/>
      <w:jc w:val="both"/>
    </w:pPr>
    <w:rPr>
      <w:rFonts w:ascii="Times New Roman" w:hAnsi="Times New Roman" w:cs="Times New Roman"/>
      <w:kern w:val="2"/>
      <w:sz w:val="21"/>
    </w:rPr>
  </w:style>
  <w:style w:type="paragraph" w:customStyle="1" w:styleId="101">
    <w:name w:val="需求书2"/>
    <w:basedOn w:val="1"/>
    <w:qFormat/>
    <w:uiPriority w:val="0"/>
    <w:pPr>
      <w:autoSpaceDE/>
      <w:autoSpaceDN/>
      <w:adjustRightInd/>
      <w:jc w:val="both"/>
    </w:pPr>
    <w:rPr>
      <w:rFonts w:hAnsi="宋体"/>
      <w:spacing w:val="10"/>
      <w:kern w:val="2"/>
      <w:sz w:val="18"/>
      <w:szCs w:val="20"/>
    </w:rPr>
  </w:style>
  <w:style w:type="paragraph" w:customStyle="1" w:styleId="102">
    <w:name w:val="Char Char Char Char1"/>
    <w:basedOn w:val="4"/>
    <w:qFormat/>
    <w:uiPriority w:val="0"/>
    <w:pPr>
      <w:keepNext/>
      <w:keepLines/>
      <w:pageBreakBefore/>
      <w:widowControl/>
      <w:numPr>
        <w:ilvl w:val="1"/>
        <w:numId w:val="7"/>
      </w:numPr>
      <w:autoSpaceDE/>
      <w:autoSpaceDN/>
      <w:adjustRightInd/>
      <w:spacing w:before="180" w:after="160" w:line="240" w:lineRule="exact"/>
    </w:pPr>
    <w:rPr>
      <w:rFonts w:ascii="Verdana" w:hAnsi="Verdana" w:eastAsia="黑体"/>
      <w:bCs/>
      <w:sz w:val="32"/>
      <w:szCs w:val="32"/>
      <w:lang w:eastAsia="en-US"/>
    </w:rPr>
  </w:style>
  <w:style w:type="paragraph" w:customStyle="1" w:styleId="103">
    <w:name w:val="Char1"/>
    <w:basedOn w:val="17"/>
    <w:qFormat/>
    <w:uiPriority w:val="0"/>
    <w:pPr>
      <w:autoSpaceDE/>
      <w:autoSpaceDN/>
      <w:adjustRightInd/>
      <w:jc w:val="both"/>
    </w:pPr>
    <w:rPr>
      <w:rFonts w:ascii="Tahoma" w:hAnsi="Tahoma"/>
      <w:kern w:val="2"/>
    </w:rPr>
  </w:style>
  <w:style w:type="paragraph" w:customStyle="1" w:styleId="104">
    <w:name w:val="xl39"/>
    <w:basedOn w:val="1"/>
    <w:qFormat/>
    <w:uiPriority w:val="0"/>
    <w:pPr>
      <w:widowControl/>
      <w:autoSpaceDE/>
      <w:autoSpaceDN/>
      <w:adjustRightInd/>
      <w:spacing w:before="100" w:beforeAutospacing="1" w:after="100" w:afterAutospacing="1"/>
    </w:pPr>
    <w:rPr>
      <w:rFonts w:ascii="Arial Unicode MS" w:hAnsi="Arial Unicode MS" w:eastAsia="Arial Unicode MS"/>
      <w:sz w:val="20"/>
      <w:szCs w:val="20"/>
    </w:rPr>
  </w:style>
  <w:style w:type="paragraph" w:customStyle="1" w:styleId="105">
    <w:name w:val="Blockquote"/>
    <w:basedOn w:val="1"/>
    <w:qFormat/>
    <w:uiPriority w:val="0"/>
    <w:pPr>
      <w:spacing w:before="100" w:after="100"/>
      <w:ind w:left="360" w:right="360"/>
    </w:pPr>
    <w:rPr>
      <w:rFonts w:ascii="Times New Roman" w:hAnsi="Times New Roman" w:cs="Times New Roman"/>
      <w:szCs w:val="20"/>
    </w:rPr>
  </w:style>
  <w:style w:type="paragraph" w:customStyle="1" w:styleId="106">
    <w:name w:val="样式 标题 2 + Times New Roman 四号 非加粗 段前: 5 磅 段后: 0 磅 行距: 固定值 20..."/>
    <w:basedOn w:val="4"/>
    <w:qFormat/>
    <w:uiPriority w:val="0"/>
    <w:pPr>
      <w:spacing w:before="100" w:line="400" w:lineRule="exact"/>
    </w:pPr>
    <w:rPr>
      <w:rFonts w:ascii="Times New Roman" w:hAnsi="Times New Roman"/>
      <w:b w:val="0"/>
      <w:sz w:val="28"/>
      <w:szCs w:val="20"/>
    </w:rPr>
  </w:style>
  <w:style w:type="paragraph" w:customStyle="1" w:styleId="107">
    <w:name w:val="Char"/>
    <w:basedOn w:val="1"/>
    <w:qFormat/>
    <w:uiPriority w:val="0"/>
    <w:pPr>
      <w:widowControl/>
      <w:autoSpaceDE/>
      <w:autoSpaceDN/>
      <w:adjustRightInd/>
      <w:spacing w:line="400" w:lineRule="exact"/>
      <w:jc w:val="center"/>
    </w:pPr>
    <w:rPr>
      <w:rFonts w:ascii="Times New Roman"/>
      <w:sz w:val="21"/>
      <w:szCs w:val="20"/>
    </w:rPr>
  </w:style>
  <w:style w:type="paragraph" w:customStyle="1" w:styleId="108">
    <w:name w:val="技术响应1"/>
    <w:basedOn w:val="1"/>
    <w:qFormat/>
    <w:uiPriority w:val="0"/>
    <w:pPr>
      <w:widowControl/>
      <w:autoSpaceDE/>
      <w:autoSpaceDN/>
      <w:adjustRightInd/>
      <w:spacing w:line="360" w:lineRule="auto"/>
      <w:ind w:firstLine="588"/>
      <w:jc w:val="center"/>
    </w:pPr>
    <w:rPr>
      <w:b/>
      <w:sz w:val="28"/>
      <w:szCs w:val="20"/>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10">
    <w:name w:val="D标3"/>
    <w:basedOn w:val="5"/>
    <w:qFormat/>
    <w:uiPriority w:val="0"/>
    <w:pPr>
      <w:numPr>
        <w:ilvl w:val="0"/>
        <w:numId w:val="8"/>
      </w:numPr>
      <w:spacing w:before="120" w:line="480" w:lineRule="atLeast"/>
      <w:jc w:val="both"/>
    </w:pPr>
    <w:rPr>
      <w:rFonts w:ascii="Times New Roman" w:hAnsi="Times New Roman" w:cs="Times New Roman"/>
      <w:szCs w:val="20"/>
    </w:rPr>
  </w:style>
  <w:style w:type="paragraph" w:customStyle="1" w:styleId="111">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宋体"/>
    </w:rPr>
  </w:style>
  <w:style w:type="paragraph" w:customStyle="1" w:styleId="112">
    <w:name w:val="_Style 202"/>
    <w:basedOn w:val="1"/>
    <w:qFormat/>
    <w:uiPriority w:val="0"/>
    <w:pPr>
      <w:tabs>
        <w:tab w:val="left" w:pos="360"/>
      </w:tabs>
      <w:autoSpaceDE/>
      <w:autoSpaceDN/>
      <w:adjustRightInd/>
      <w:jc w:val="both"/>
    </w:pPr>
    <w:rPr>
      <w:rFonts w:ascii="Times New Roman"/>
      <w:kern w:val="2"/>
      <w:sz w:val="21"/>
    </w:rPr>
  </w:style>
  <w:style w:type="paragraph" w:customStyle="1" w:styleId="11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100" w:beforeAutospacing="1" w:after="100" w:afterAutospacing="1"/>
      <w:jc w:val="center"/>
      <w:textAlignment w:val="center"/>
    </w:pPr>
    <w:rPr>
      <w:rFonts w:ascii="Arial Unicode MS" w:hAnsi="Arial Unicode MS" w:eastAsia="Arial Unicode MS"/>
      <w:b/>
      <w:sz w:val="20"/>
      <w:szCs w:val="20"/>
    </w:rPr>
  </w:style>
  <w:style w:type="paragraph" w:customStyle="1" w:styleId="114">
    <w:name w:val="shall-正文"/>
    <w:basedOn w:val="1"/>
    <w:qFormat/>
    <w:uiPriority w:val="0"/>
    <w:pPr>
      <w:snapToGrid w:val="0"/>
      <w:spacing w:beforeLines="30" w:line="288" w:lineRule="auto"/>
      <w:ind w:firstLine="200" w:firstLineChars="200"/>
    </w:pPr>
    <w:rPr>
      <w:rFonts w:eastAsia="华文细黑"/>
    </w:rPr>
  </w:style>
  <w:style w:type="paragraph" w:customStyle="1" w:styleId="115">
    <w:name w:val="xl38"/>
    <w:basedOn w:val="1"/>
    <w:qFormat/>
    <w:uiPriority w:val="0"/>
    <w:pPr>
      <w:widowControl/>
      <w:pBdr>
        <w:bottom w:val="single" w:color="auto" w:sz="4" w:space="0"/>
      </w:pBdr>
      <w:autoSpaceDE/>
      <w:autoSpaceDN/>
      <w:adjustRightInd/>
      <w:spacing w:before="100" w:beforeAutospacing="1" w:after="100" w:afterAutospacing="1"/>
      <w:jc w:val="center"/>
      <w:textAlignment w:val="center"/>
    </w:pPr>
    <w:rPr>
      <w:rFonts w:ascii="Arial Unicode MS" w:hAnsi="Arial Unicode MS" w:eastAsia="Arial Unicode MS"/>
      <w:b/>
      <w:sz w:val="36"/>
      <w:szCs w:val="20"/>
    </w:rPr>
  </w:style>
  <w:style w:type="paragraph" w:customStyle="1" w:styleId="116">
    <w:name w:val="p2"/>
    <w:basedOn w:val="1"/>
    <w:qFormat/>
    <w:uiPriority w:val="0"/>
    <w:rPr>
      <w:rFonts w:cs="Times New Roman"/>
    </w:rPr>
  </w:style>
  <w:style w:type="paragraph" w:customStyle="1" w:styleId="117">
    <w:name w:val="Char Char Char Char Char Char"/>
    <w:basedOn w:val="1"/>
    <w:qFormat/>
    <w:uiPriority w:val="0"/>
    <w:pPr>
      <w:widowControl/>
      <w:autoSpaceDE/>
      <w:autoSpaceDN/>
      <w:adjustRightInd/>
      <w:spacing w:after="160" w:line="240" w:lineRule="exact"/>
    </w:pPr>
    <w:rPr>
      <w:rFonts w:ascii="Times New Roman"/>
      <w:kern w:val="2"/>
      <w:lang w:eastAsia="en-US"/>
    </w:rPr>
  </w:style>
  <w:style w:type="paragraph" w:customStyle="1" w:styleId="118">
    <w:name w:val="标题4"/>
    <w:basedOn w:val="75"/>
    <w:qFormat/>
    <w:uiPriority w:val="0"/>
    <w:pPr>
      <w:spacing w:line="540" w:lineRule="exact"/>
      <w:ind w:firstLine="0" w:firstLineChars="0"/>
    </w:pPr>
    <w:rPr>
      <w:rFonts w:hAnsi="Times New Roman"/>
      <w:szCs w:val="24"/>
    </w:rPr>
  </w:style>
  <w:style w:type="paragraph" w:styleId="119">
    <w:name w:val="No Spacing"/>
    <w:qFormat/>
    <w:uiPriority w:val="0"/>
    <w:pPr>
      <w:widowControl w:val="0"/>
      <w:jc w:val="both"/>
    </w:pPr>
    <w:rPr>
      <w:rFonts w:ascii="Calibri" w:hAnsi="Calibri" w:eastAsia="宋体" w:cs="宋体"/>
      <w:kern w:val="2"/>
      <w:sz w:val="21"/>
      <w:szCs w:val="24"/>
      <w:lang w:val="en-US" w:eastAsia="zh-CN" w:bidi="ar-SA"/>
    </w:rPr>
  </w:style>
  <w:style w:type="paragraph" w:customStyle="1" w:styleId="12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21">
    <w:name w:val="列表正文"/>
    <w:basedOn w:val="1"/>
    <w:qFormat/>
    <w:uiPriority w:val="0"/>
    <w:pPr>
      <w:autoSpaceDE/>
      <w:autoSpaceDN/>
      <w:snapToGrid w:val="0"/>
      <w:spacing w:line="300" w:lineRule="auto"/>
      <w:ind w:left="200" w:leftChars="200" w:firstLine="200" w:firstLineChars="200"/>
      <w:jc w:val="both"/>
    </w:pPr>
    <w:rPr>
      <w:rFonts w:ascii="Times New Roman"/>
      <w:kern w:val="2"/>
      <w:sz w:val="21"/>
    </w:rPr>
  </w:style>
  <w:style w:type="paragraph" w:customStyle="1" w:styleId="122">
    <w:name w:val="Char Char2 Char"/>
    <w:basedOn w:val="1"/>
    <w:qFormat/>
    <w:uiPriority w:val="0"/>
    <w:pPr>
      <w:autoSpaceDE/>
      <w:autoSpaceDN/>
      <w:adjustRightInd/>
      <w:jc w:val="both"/>
    </w:pPr>
    <w:rPr>
      <w:rFonts w:hAnsi="宋体"/>
      <w:b/>
      <w:kern w:val="2"/>
      <w:sz w:val="28"/>
      <w:szCs w:val="28"/>
    </w:rPr>
  </w:style>
  <w:style w:type="paragraph" w:customStyle="1" w:styleId="123">
    <w:name w:val="版权"/>
    <w:basedOn w:val="1"/>
    <w:qFormat/>
    <w:uiPriority w:val="0"/>
    <w:pPr>
      <w:autoSpaceDE/>
      <w:autoSpaceDN/>
      <w:adjustRightInd/>
      <w:spacing w:before="312" w:after="312"/>
      <w:ind w:firstLine="480"/>
      <w:jc w:val="center"/>
      <w:outlineLvl w:val="0"/>
    </w:pPr>
    <w:rPr>
      <w:rFonts w:ascii="华文中宋" w:hAnsi="华文中宋"/>
      <w:b/>
      <w:kern w:val="2"/>
      <w:szCs w:val="20"/>
    </w:rPr>
  </w:style>
  <w:style w:type="paragraph" w:customStyle="1" w:styleId="124">
    <w:name w:val="LEGALB Cont 2"/>
    <w:basedOn w:val="1"/>
    <w:qFormat/>
    <w:uiPriority w:val="0"/>
    <w:pPr>
      <w:widowControl/>
      <w:tabs>
        <w:tab w:val="left" w:pos="720"/>
      </w:tabs>
      <w:spacing w:after="240"/>
      <w:ind w:left="720" w:leftChars="300"/>
    </w:pPr>
    <w:rPr>
      <w:rFonts w:ascii="Calibri" w:eastAsia="DFKai-SB" w:cs="Times New Roman"/>
      <w:lang w:eastAsia="en-US"/>
    </w:rPr>
  </w:style>
  <w:style w:type="paragraph" w:customStyle="1" w:styleId="125">
    <w:name w:val="表格栏头"/>
    <w:basedOn w:val="126"/>
    <w:next w:val="126"/>
    <w:qFormat/>
    <w:uiPriority w:val="0"/>
    <w:rPr>
      <w:b/>
    </w:rPr>
  </w:style>
  <w:style w:type="paragraph" w:customStyle="1" w:styleId="126">
    <w:name w:val="表格正文"/>
    <w:basedOn w:val="1"/>
    <w:qFormat/>
    <w:uiPriority w:val="0"/>
    <w:pPr>
      <w:widowControl/>
      <w:overflowPunct w:val="0"/>
      <w:spacing w:before="312" w:after="312" w:line="360" w:lineRule="auto"/>
      <w:textAlignment w:val="baseline"/>
    </w:pPr>
    <w:rPr>
      <w:rFonts w:hAnsi="Tahoma"/>
      <w:szCs w:val="20"/>
    </w:rPr>
  </w:style>
  <w:style w:type="paragraph" w:customStyle="1" w:styleId="127">
    <w:name w:val="正文列表"/>
    <w:basedOn w:val="1"/>
    <w:qFormat/>
    <w:uiPriority w:val="0"/>
    <w:pPr>
      <w:jc w:val="center"/>
      <w:textAlignment w:val="baseline"/>
    </w:pPr>
    <w:rPr>
      <w:rFonts w:hAnsi="宋体"/>
      <w:szCs w:val="20"/>
    </w:rPr>
  </w:style>
  <w:style w:type="paragraph" w:customStyle="1" w:styleId="128">
    <w:name w:val="图"/>
    <w:basedOn w:val="1"/>
    <w:qFormat/>
    <w:uiPriority w:val="0"/>
    <w:pPr>
      <w:keepNext/>
      <w:autoSpaceDE/>
      <w:autoSpaceDN/>
      <w:spacing w:before="60" w:after="60" w:line="300" w:lineRule="auto"/>
      <w:jc w:val="center"/>
      <w:textAlignment w:val="center"/>
    </w:pPr>
    <w:rPr>
      <w:rFonts w:ascii="Times New Roman"/>
      <w:snapToGrid w:val="0"/>
      <w:spacing w:val="20"/>
      <w:szCs w:val="20"/>
    </w:rPr>
  </w:style>
  <w:style w:type="paragraph" w:customStyle="1" w:styleId="129">
    <w:name w:val="题注4"/>
    <w:basedOn w:val="1"/>
    <w:next w:val="14"/>
    <w:qFormat/>
    <w:uiPriority w:val="0"/>
    <w:pPr>
      <w:autoSpaceDE/>
      <w:autoSpaceDN/>
      <w:adjustRightInd/>
      <w:ind w:left="-132" w:leftChars="-64" w:right="-105" w:rightChars="-50" w:hanging="2"/>
      <w:jc w:val="center"/>
    </w:pPr>
    <w:rPr>
      <w:rFonts w:ascii="Times New Roman"/>
      <w:b/>
      <w:color w:val="FF0000"/>
      <w:kern w:val="2"/>
      <w:sz w:val="21"/>
      <w:szCs w:val="21"/>
      <w:lang w:val="en-GB"/>
    </w:rPr>
  </w:style>
  <w:style w:type="paragraph" w:customStyle="1" w:styleId="130">
    <w:name w:val="题目副题"/>
    <w:basedOn w:val="40"/>
    <w:qFormat/>
    <w:uiPriority w:val="0"/>
    <w:pPr>
      <w:spacing w:before="0" w:after="312"/>
      <w:ind w:left="240" w:firstLine="600"/>
      <w:jc w:val="left"/>
      <w:outlineLvl w:val="9"/>
    </w:pPr>
    <w:rPr>
      <w:rFonts w:ascii="宋体" w:hAnsi="宋体"/>
      <w:sz w:val="30"/>
    </w:rPr>
  </w:style>
  <w:style w:type="paragraph" w:customStyle="1" w:styleId="131">
    <w:name w:val="列出段落1"/>
    <w:basedOn w:val="1"/>
    <w:qFormat/>
    <w:uiPriority w:val="34"/>
    <w:pPr>
      <w:ind w:firstLine="420" w:firstLineChars="200"/>
    </w:pPr>
    <w:rPr>
      <w:rFonts w:ascii="Calibri" w:cs="黑体"/>
    </w:rPr>
  </w:style>
  <w:style w:type="paragraph" w:customStyle="1" w:styleId="132">
    <w:name w:val="xl25"/>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Ansi="宋体"/>
      <w:sz w:val="21"/>
      <w:szCs w:val="21"/>
    </w:rPr>
  </w:style>
  <w:style w:type="paragraph" w:customStyle="1" w:styleId="133">
    <w:name w:val="3 Char"/>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34">
    <w:name w:val="Char Char1 Char Char Char Char Char Char Char Char Char Char Char Char Char"/>
    <w:basedOn w:val="1"/>
    <w:qFormat/>
    <w:uiPriority w:val="0"/>
    <w:pPr>
      <w:widowControl/>
      <w:autoSpaceDE/>
      <w:autoSpaceDN/>
      <w:adjustRightInd/>
      <w:spacing w:after="160" w:line="360" w:lineRule="auto"/>
    </w:pPr>
    <w:rPr>
      <w:rFonts w:ascii="Verdana" w:hAnsi="Verdana" w:cs="Times New Roman"/>
      <w:sz w:val="21"/>
      <w:szCs w:val="20"/>
      <w:lang w:eastAsia="en-US"/>
    </w:rPr>
  </w:style>
  <w:style w:type="paragraph" w:customStyle="1" w:styleId="135">
    <w:name w:val="进度表"/>
    <w:basedOn w:val="13"/>
    <w:qFormat/>
    <w:uiPriority w:val="0"/>
    <w:pPr>
      <w:widowControl w:val="0"/>
      <w:snapToGrid w:val="0"/>
      <w:spacing w:line="440" w:lineRule="atLeast"/>
      <w:ind w:hanging="130" w:firstLineChars="0"/>
      <w:jc w:val="both"/>
    </w:pPr>
    <w:rPr>
      <w:rFonts w:ascii="宋体"/>
      <w:color w:val="000000"/>
      <w:kern w:val="2"/>
      <w:position w:val="-6"/>
      <w:sz w:val="28"/>
    </w:rPr>
  </w:style>
  <w:style w:type="paragraph" w:customStyle="1" w:styleId="136">
    <w:name w:val="大标题"/>
    <w:basedOn w:val="3"/>
    <w:qFormat/>
    <w:uiPriority w:val="0"/>
    <w:rPr>
      <w:snapToGrid w:val="0"/>
      <w:sz w:val="52"/>
      <w:szCs w:val="72"/>
    </w:rPr>
  </w:style>
  <w:style w:type="paragraph" w:customStyle="1" w:styleId="137">
    <w:name w:val="正文无缩进"/>
    <w:basedOn w:val="75"/>
    <w:qFormat/>
    <w:uiPriority w:val="0"/>
    <w:pPr>
      <w:ind w:firstLine="0" w:firstLineChars="0"/>
    </w:pPr>
  </w:style>
  <w:style w:type="paragraph" w:customStyle="1" w:styleId="138">
    <w:name w:val="标题 3.5"/>
    <w:basedOn w:val="5"/>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39">
    <w:name w:val="题注5"/>
    <w:basedOn w:val="1"/>
    <w:next w:val="14"/>
    <w:qFormat/>
    <w:uiPriority w:val="0"/>
    <w:pPr>
      <w:autoSpaceDE/>
      <w:autoSpaceDN/>
      <w:adjustRightInd/>
      <w:jc w:val="center"/>
    </w:pPr>
    <w:rPr>
      <w:rFonts w:ascii="Times New Roman"/>
      <w:b/>
      <w:color w:val="000000"/>
      <w:kern w:val="2"/>
      <w:szCs w:val="21"/>
    </w:rPr>
  </w:style>
  <w:style w:type="paragraph" w:customStyle="1" w:styleId="140">
    <w:name w:val="xl44"/>
    <w:basedOn w:val="1"/>
    <w:qFormat/>
    <w:uiPriority w:val="0"/>
    <w:pPr>
      <w:widowControl/>
      <w:pBdr>
        <w:left w:val="single" w:color="auto" w:sz="4" w:space="0"/>
        <w:right w:val="single" w:color="auto" w:sz="4" w:space="0"/>
      </w:pBdr>
      <w:spacing w:before="100" w:beforeAutospacing="1" w:after="100" w:afterAutospacing="1"/>
      <w:jc w:val="center"/>
    </w:pPr>
    <w:rPr>
      <w:rFonts w:hint="eastAsia" w:hAnsi="宋体"/>
    </w:rPr>
  </w:style>
  <w:style w:type="paragraph" w:customStyle="1" w:styleId="141">
    <w:name w:val="Char Char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142">
    <w:name w:val="xl33"/>
    <w:basedOn w:val="1"/>
    <w:qFormat/>
    <w:uiPriority w:val="0"/>
    <w:pPr>
      <w:widowControl/>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43">
    <w:name w:val="Char Char1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styleId="144">
    <w:name w:val="List Paragraph"/>
    <w:basedOn w:val="1"/>
    <w:qFormat/>
    <w:uiPriority w:val="0"/>
    <w:pPr>
      <w:autoSpaceDE/>
      <w:autoSpaceDN/>
      <w:adjustRightInd/>
      <w:ind w:firstLine="420" w:firstLineChars="200"/>
      <w:jc w:val="both"/>
    </w:pPr>
    <w:rPr>
      <w:rFonts w:ascii="Calibri"/>
      <w:kern w:val="2"/>
      <w:sz w:val="21"/>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Times New Roman" w:eastAsia="Arial Unicode MS"/>
      <w:sz w:val="20"/>
      <w:szCs w:val="20"/>
    </w:rPr>
  </w:style>
  <w:style w:type="paragraph" w:customStyle="1" w:styleId="146">
    <w:name w:val="目录"/>
    <w:basedOn w:val="1"/>
    <w:qFormat/>
    <w:uiPriority w:val="0"/>
    <w:pPr>
      <w:widowControl/>
      <w:autoSpaceDE/>
      <w:autoSpaceDN/>
      <w:adjustRightInd/>
      <w:spacing w:line="480" w:lineRule="auto"/>
      <w:jc w:val="center"/>
    </w:pPr>
    <w:rPr>
      <w:b/>
      <w:szCs w:val="20"/>
    </w:rPr>
  </w:style>
  <w:style w:type="paragraph" w:customStyle="1" w:styleId="147">
    <w:name w:val="xl26"/>
    <w:basedOn w:val="1"/>
    <w:qFormat/>
    <w:uiPriority w:val="0"/>
    <w:pPr>
      <w:widowControl/>
      <w:autoSpaceDE/>
      <w:autoSpaceDN/>
      <w:adjustRightInd/>
      <w:spacing w:before="100" w:beforeAutospacing="1" w:after="100" w:afterAutospacing="1"/>
      <w:jc w:val="center"/>
    </w:pPr>
    <w:rPr>
      <w:rFonts w:hint="eastAsia" w:ascii="仿宋_GB2312" w:hAnsi="宋体" w:eastAsia="仿宋_GB2312"/>
    </w:rPr>
  </w:style>
  <w:style w:type="paragraph" w:customStyle="1" w:styleId="148">
    <w:name w:val="Char11"/>
    <w:basedOn w:val="17"/>
    <w:qFormat/>
    <w:uiPriority w:val="0"/>
    <w:pPr>
      <w:autoSpaceDE/>
      <w:autoSpaceDN/>
      <w:adjustRightInd/>
      <w:jc w:val="both"/>
    </w:pPr>
    <w:rPr>
      <w:rFonts w:ascii="Tahoma" w:hAnsi="Tahoma" w:cs="Times New Roman"/>
      <w:kern w:val="2"/>
    </w:rPr>
  </w:style>
  <w:style w:type="paragraph" w:customStyle="1" w:styleId="149">
    <w:name w:val="Char21"/>
    <w:basedOn w:val="1"/>
    <w:qFormat/>
    <w:uiPriority w:val="0"/>
    <w:pPr>
      <w:widowControl/>
      <w:autoSpaceDE/>
      <w:autoSpaceDN/>
      <w:adjustRightInd/>
      <w:spacing w:after="160" w:line="240" w:lineRule="exact"/>
      <w:jc w:val="center"/>
    </w:pPr>
    <w:rPr>
      <w:rFonts w:ascii="黑体" w:hAnsi="Verdana" w:eastAsia="黑体"/>
      <w:sz w:val="32"/>
      <w:szCs w:val="32"/>
      <w:lang w:eastAsia="en-US"/>
    </w:rPr>
  </w:style>
  <w:style w:type="paragraph" w:customStyle="1" w:styleId="150">
    <w:name w:val="普通(Web)"/>
    <w:basedOn w:val="1"/>
    <w:qFormat/>
    <w:uiPriority w:val="0"/>
    <w:pPr>
      <w:widowControl/>
      <w:autoSpaceDE/>
      <w:autoSpaceDN/>
      <w:adjustRightInd/>
      <w:spacing w:before="100" w:beforeAutospacing="1" w:after="100" w:afterAutospacing="1" w:line="240" w:lineRule="atLeast"/>
      <w:ind w:firstLine="360"/>
    </w:pPr>
    <w:rPr>
      <w:rFonts w:hAnsi="宋体"/>
      <w:sz w:val="18"/>
      <w:szCs w:val="20"/>
    </w:rPr>
  </w:style>
  <w:style w:type="paragraph" w:customStyle="1" w:styleId="151">
    <w:name w:val="信息标题2"/>
    <w:basedOn w:val="14"/>
    <w:next w:val="14"/>
    <w:qFormat/>
    <w:uiPriority w:val="0"/>
    <w:pPr>
      <w:autoSpaceDE/>
      <w:autoSpaceDN/>
      <w:adjustRightInd/>
      <w:spacing w:beforeLines="50" w:afterLines="50"/>
      <w:ind w:left="422" w:hanging="422" w:hangingChars="200"/>
    </w:pPr>
    <w:rPr>
      <w:rFonts w:ascii="Arial Black" w:hAnsi="Arial Black" w:eastAsia="宋体" w:cs="Times New Roman"/>
      <w:b/>
      <w:kern w:val="2"/>
      <w:sz w:val="30"/>
    </w:rPr>
  </w:style>
  <w:style w:type="paragraph" w:customStyle="1" w:styleId="152">
    <w:name w:val="表中文字"/>
    <w:basedOn w:val="1"/>
    <w:qFormat/>
    <w:uiPriority w:val="0"/>
    <w:pPr>
      <w:spacing w:line="400" w:lineRule="atLeast"/>
      <w:ind w:left="35" w:leftChars="14" w:hanging="1"/>
      <w:jc w:val="center"/>
      <w:textAlignment w:val="baseline"/>
    </w:pPr>
    <w:rPr>
      <w:rFonts w:ascii="Verdana" w:hAnsi="Verdana"/>
      <w:sz w:val="21"/>
      <w:szCs w:val="28"/>
    </w:rPr>
  </w:style>
  <w:style w:type="paragraph" w:customStyle="1" w:styleId="153">
    <w:name w:val="xl28"/>
    <w:basedOn w:val="1"/>
    <w:qFormat/>
    <w:uiPriority w:val="0"/>
    <w:pPr>
      <w:widowControl/>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54">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5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utoSpaceDE/>
      <w:autoSpaceDN/>
      <w:adjustRightInd/>
      <w:spacing w:before="100" w:beforeAutospacing="1" w:after="100" w:afterAutospacing="1"/>
      <w:jc w:val="center"/>
      <w:textAlignment w:val="center"/>
    </w:pPr>
    <w:rPr>
      <w:rFonts w:ascii="Arial Unicode MS" w:hAnsi="Arial Unicode MS" w:eastAsia="Arial Unicode MS"/>
      <w:b/>
      <w:sz w:val="20"/>
      <w:szCs w:val="20"/>
    </w:rPr>
  </w:style>
  <w:style w:type="paragraph" w:customStyle="1" w:styleId="156">
    <w:name w:val="xl37"/>
    <w:basedOn w:val="1"/>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ascii="Arial Unicode MS" w:hAnsi="Arial Unicode MS" w:eastAsia="Arial Unicode MS"/>
      <w:sz w:val="20"/>
      <w:szCs w:val="20"/>
    </w:rPr>
  </w:style>
  <w:style w:type="paragraph" w:customStyle="1" w:styleId="157">
    <w:name w:val="正文（缩进）"/>
    <w:basedOn w:val="1"/>
    <w:qFormat/>
    <w:uiPriority w:val="0"/>
    <w:pPr>
      <w:autoSpaceDE/>
      <w:autoSpaceDN/>
      <w:adjustRightInd/>
      <w:spacing w:beforeLines="50" w:afterLines="50" w:line="360" w:lineRule="auto"/>
      <w:ind w:firstLine="480" w:firstLineChars="200"/>
      <w:jc w:val="both"/>
    </w:pPr>
    <w:rPr>
      <w:rFonts w:ascii="Times New Roman"/>
      <w:kern w:val="2"/>
    </w:rPr>
  </w:style>
  <w:style w:type="paragraph" w:customStyle="1" w:styleId="158">
    <w:name w:val="样式 样式 样式 首行缩进:  2 字符1 + 首行缩进:  2 字符 + 首行缩进:  2 字符"/>
    <w:basedOn w:val="1"/>
    <w:semiHidden/>
    <w:qFormat/>
    <w:uiPriority w:val="0"/>
    <w:pPr>
      <w:kinsoku w:val="0"/>
      <w:overflowPunct w:val="0"/>
      <w:ind w:firstLine="200" w:firstLineChars="200"/>
    </w:pPr>
    <w:rPr>
      <w:rFonts w:ascii="仿宋_GB2312" w:hAnsi="宋体" w:eastAsia="仿宋_GB2312"/>
      <w:sz w:val="32"/>
      <w:szCs w:val="20"/>
    </w:rPr>
  </w:style>
  <w:style w:type="paragraph" w:customStyle="1" w:styleId="159">
    <w:name w:val="样式 标题 3Level 3 HeadH3Heading 3 - oldh3sect1.2.3Head33l3..."/>
    <w:basedOn w:val="5"/>
    <w:qFormat/>
    <w:uiPriority w:val="0"/>
    <w:pPr>
      <w:tabs>
        <w:tab w:val="left" w:pos="720"/>
      </w:tabs>
      <w:autoSpaceDE/>
      <w:autoSpaceDN/>
      <w:adjustRightInd/>
      <w:spacing w:line="360" w:lineRule="auto"/>
      <w:ind w:left="720" w:hanging="720"/>
      <w:jc w:val="both"/>
    </w:pPr>
    <w:rPr>
      <w:rFonts w:ascii="Times New Roman"/>
      <w:kern w:val="2"/>
      <w:sz w:val="21"/>
      <w:szCs w:val="20"/>
    </w:rPr>
  </w:style>
  <w:style w:type="paragraph" w:customStyle="1" w:styleId="160">
    <w:name w:val="p0"/>
    <w:basedOn w:val="1"/>
    <w:qFormat/>
    <w:uiPriority w:val="99"/>
    <w:pPr>
      <w:widowControl/>
    </w:pPr>
    <w:rPr>
      <w:szCs w:val="21"/>
    </w:rPr>
  </w:style>
  <w:style w:type="paragraph" w:customStyle="1" w:styleId="161">
    <w:name w:val="font5"/>
    <w:basedOn w:val="1"/>
    <w:qFormat/>
    <w:uiPriority w:val="0"/>
    <w:pPr>
      <w:widowControl/>
      <w:autoSpaceDE/>
      <w:autoSpaceDN/>
      <w:adjustRightInd/>
      <w:spacing w:before="100" w:beforeAutospacing="1" w:after="100" w:afterAutospacing="1"/>
    </w:pPr>
    <w:rPr>
      <w:rFonts w:hint="eastAsia" w:hAnsi="宋体"/>
      <w:sz w:val="18"/>
      <w:szCs w:val="20"/>
    </w:rPr>
  </w:style>
  <w:style w:type="paragraph" w:customStyle="1" w:styleId="162">
    <w:name w:val="Char1 Char Char Char Char Char Char"/>
    <w:basedOn w:val="1"/>
    <w:qFormat/>
    <w:uiPriority w:val="0"/>
    <w:pPr>
      <w:widowControl/>
      <w:autoSpaceDE/>
      <w:autoSpaceDN/>
      <w:adjustRightInd/>
      <w:spacing w:line="400" w:lineRule="exact"/>
      <w:jc w:val="center"/>
    </w:pPr>
    <w:rPr>
      <w:rFonts w:ascii="Verdana" w:hAnsi="Verdana" w:cs="Times New Roman"/>
      <w:sz w:val="21"/>
      <w:szCs w:val="20"/>
      <w:lang w:eastAsia="en-US"/>
    </w:rPr>
  </w:style>
  <w:style w:type="paragraph" w:customStyle="1" w:styleId="163">
    <w:name w:val="投标文件格式"/>
    <w:basedOn w:val="28"/>
    <w:qFormat/>
    <w:uiPriority w:val="0"/>
    <w:pPr>
      <w:jc w:val="center"/>
    </w:pPr>
    <w:rPr>
      <w:rFonts w:hAnsi="Times New Roman"/>
      <w:b/>
    </w:rPr>
  </w:style>
  <w:style w:type="paragraph" w:customStyle="1" w:styleId="164">
    <w:name w:val="日期右"/>
    <w:basedOn w:val="31"/>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65">
    <w:name w:val="Char1 Char Char Char"/>
    <w:basedOn w:val="1"/>
    <w:qFormat/>
    <w:uiPriority w:val="0"/>
    <w:pPr>
      <w:autoSpaceDE/>
      <w:autoSpaceDN/>
      <w:adjustRightInd/>
      <w:jc w:val="both"/>
    </w:pPr>
    <w:rPr>
      <w:rFonts w:ascii="Tahoma" w:hAnsi="Tahoma"/>
      <w:kern w:val="2"/>
      <w:szCs w:val="20"/>
    </w:rPr>
  </w:style>
  <w:style w:type="paragraph" w:customStyle="1" w:styleId="166">
    <w:name w:val="List Paragraph1"/>
    <w:basedOn w:val="1"/>
    <w:qFormat/>
    <w:uiPriority w:val="0"/>
    <w:pPr>
      <w:autoSpaceDE/>
      <w:autoSpaceDN/>
      <w:adjustRightInd/>
      <w:ind w:firstLine="420" w:firstLineChars="200"/>
      <w:jc w:val="both"/>
    </w:pPr>
    <w:rPr>
      <w:rFonts w:ascii="Calibri" w:cs="Times New Roman"/>
      <w:kern w:val="2"/>
      <w:sz w:val="21"/>
      <w:szCs w:val="22"/>
    </w:rPr>
  </w:style>
  <w:style w:type="paragraph" w:customStyle="1" w:styleId="167">
    <w:name w:val="Char Char Char"/>
    <w:basedOn w:val="1"/>
    <w:qFormat/>
    <w:uiPriority w:val="0"/>
    <w:pPr>
      <w:autoSpaceDE/>
      <w:autoSpaceDN/>
      <w:adjustRightInd/>
      <w:jc w:val="both"/>
    </w:pPr>
    <w:rPr>
      <w:rFonts w:ascii="Tahoma" w:hAnsi="Tahoma"/>
      <w:b/>
      <w:sz w:val="28"/>
      <w:szCs w:val="20"/>
    </w:rPr>
  </w:style>
  <w:style w:type="paragraph" w:customStyle="1" w:styleId="168">
    <w:name w:val="保留正文"/>
    <w:basedOn w:val="21"/>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69">
    <w:name w:val="正文缩进6格"/>
    <w:basedOn w:val="170"/>
    <w:qFormat/>
    <w:uiPriority w:val="0"/>
    <w:pPr>
      <w:ind w:left="1758" w:leftChars="854"/>
    </w:pPr>
  </w:style>
  <w:style w:type="paragraph" w:customStyle="1" w:styleId="170">
    <w:name w:val="正文缩进4格"/>
    <w:basedOn w:val="75"/>
    <w:qFormat/>
    <w:uiPriority w:val="0"/>
    <w:pPr>
      <w:ind w:left="651" w:leftChars="310" w:firstLine="608" w:firstLineChars="196"/>
    </w:pPr>
    <w:rPr>
      <w:color w:val="000000"/>
    </w:rPr>
  </w:style>
  <w:style w:type="paragraph" w:customStyle="1" w:styleId="171">
    <w:name w:val="Char1 Char Char Char Char Char Char1"/>
    <w:basedOn w:val="1"/>
    <w:qFormat/>
    <w:uiPriority w:val="0"/>
    <w:pPr>
      <w:widowControl/>
      <w:autoSpaceDE/>
      <w:autoSpaceDN/>
      <w:adjustRightInd/>
      <w:spacing w:line="400" w:lineRule="exact"/>
      <w:jc w:val="center"/>
    </w:pPr>
    <w:rPr>
      <w:rFonts w:ascii="Verdana" w:hAnsi="Verdana"/>
      <w:sz w:val="21"/>
      <w:szCs w:val="20"/>
      <w:lang w:eastAsia="en-US"/>
    </w:rPr>
  </w:style>
  <w:style w:type="paragraph" w:customStyle="1" w:styleId="172">
    <w:name w:val="表头"/>
    <w:basedOn w:val="14"/>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173">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utoSpaceDE/>
      <w:autoSpaceDN/>
      <w:adjustRightInd/>
      <w:spacing w:before="100" w:beforeAutospacing="1" w:after="100" w:afterAutospacing="1"/>
      <w:jc w:val="center"/>
      <w:textAlignment w:val="center"/>
    </w:pPr>
    <w:rPr>
      <w:rFonts w:ascii="Arial Unicode MS" w:hAnsi="Arial Unicode MS" w:eastAsia="Arial Unicode MS"/>
      <w:sz w:val="20"/>
      <w:szCs w:val="20"/>
    </w:rPr>
  </w:style>
  <w:style w:type="paragraph" w:customStyle="1" w:styleId="174">
    <w:name w:val="1"/>
    <w:basedOn w:val="1"/>
    <w:qFormat/>
    <w:uiPriority w:val="0"/>
    <w:pPr>
      <w:widowControl/>
      <w:autoSpaceDE/>
      <w:autoSpaceDN/>
      <w:adjustRightInd/>
      <w:spacing w:after="160" w:line="240" w:lineRule="exact"/>
    </w:pPr>
    <w:rPr>
      <w:rFonts w:ascii="Verdana" w:hAnsi="Verdana" w:eastAsia="楷体_GB2312"/>
      <w:b/>
      <w:i/>
      <w:iCs/>
      <w:color w:val="000000"/>
      <w:sz w:val="20"/>
      <w:szCs w:val="20"/>
      <w:lang w:eastAsia="en-US"/>
    </w:rPr>
  </w:style>
  <w:style w:type="paragraph" w:customStyle="1" w:styleId="175">
    <w:name w:val="表正文"/>
    <w:basedOn w:val="1"/>
    <w:next w:val="25"/>
    <w:qFormat/>
    <w:uiPriority w:val="0"/>
    <w:pPr>
      <w:autoSpaceDE/>
      <w:autoSpaceDN/>
      <w:adjustRightInd/>
      <w:spacing w:line="360" w:lineRule="auto"/>
      <w:ind w:left="180" w:leftChars="85" w:right="2" w:hanging="2"/>
      <w:jc w:val="both"/>
    </w:pPr>
    <w:rPr>
      <w:rFonts w:ascii="Arial" w:hAnsi="Arial"/>
      <w:kern w:val="2"/>
      <w:sz w:val="21"/>
      <w:szCs w:val="20"/>
    </w:rPr>
  </w:style>
  <w:style w:type="paragraph" w:customStyle="1" w:styleId="176">
    <w:name w:val="Char2"/>
    <w:basedOn w:val="1"/>
    <w:qFormat/>
    <w:uiPriority w:val="0"/>
    <w:pPr>
      <w:widowControl/>
      <w:autoSpaceDE/>
      <w:autoSpaceDN/>
      <w:adjustRightInd/>
      <w:spacing w:after="160" w:line="240" w:lineRule="exact"/>
    </w:pPr>
    <w:rPr>
      <w:rFonts w:ascii="Verdana" w:hAnsi="Verdana" w:eastAsia="仿宋_GB2312"/>
      <w:szCs w:val="20"/>
      <w:lang w:eastAsia="en-US"/>
    </w:rPr>
  </w:style>
  <w:style w:type="paragraph" w:customStyle="1" w:styleId="177">
    <w:name w:val="DAS正文"/>
    <w:basedOn w:val="1"/>
    <w:qFormat/>
    <w:uiPriority w:val="0"/>
    <w:pPr>
      <w:autoSpaceDE/>
      <w:autoSpaceDN/>
      <w:adjustRightInd/>
      <w:spacing w:line="360" w:lineRule="exact"/>
      <w:jc w:val="both"/>
    </w:pPr>
    <w:rPr>
      <w:rFonts w:ascii="Verdana" w:hAnsi="Verdana"/>
      <w:kern w:val="2"/>
      <w:sz w:val="21"/>
      <w:szCs w:val="21"/>
    </w:rPr>
  </w:style>
  <w:style w:type="paragraph" w:customStyle="1" w:styleId="178">
    <w:name w:val="Char Char Char Char Char Char Char Char Char Char Char Char Char"/>
    <w:basedOn w:val="1"/>
    <w:qFormat/>
    <w:uiPriority w:val="0"/>
    <w:pPr>
      <w:widowControl/>
      <w:autoSpaceDE/>
      <w:autoSpaceDN/>
      <w:adjustRightInd/>
      <w:spacing w:after="160" w:line="240" w:lineRule="exact"/>
    </w:pPr>
    <w:rPr>
      <w:rFonts w:ascii="Times New Roman"/>
      <w:kern w:val="2"/>
      <w:sz w:val="21"/>
    </w:rPr>
  </w:style>
  <w:style w:type="paragraph" w:customStyle="1" w:styleId="179">
    <w:name w:val="正文居中"/>
    <w:basedOn w:val="1"/>
    <w:next w:val="1"/>
    <w:qFormat/>
    <w:uiPriority w:val="0"/>
    <w:pPr>
      <w:autoSpaceDE/>
      <w:autoSpaceDN/>
      <w:snapToGrid w:val="0"/>
      <w:spacing w:line="300" w:lineRule="auto"/>
      <w:jc w:val="center"/>
    </w:pPr>
    <w:rPr>
      <w:rFonts w:ascii="Times New Roman"/>
      <w:kern w:val="2"/>
      <w:sz w:val="21"/>
    </w:rPr>
  </w:style>
  <w:style w:type="paragraph" w:customStyle="1" w:styleId="180">
    <w:name w:val="样式37"/>
    <w:basedOn w:val="1"/>
    <w:qFormat/>
    <w:uiPriority w:val="0"/>
    <w:pPr>
      <w:widowControl/>
      <w:spacing w:line="360" w:lineRule="auto"/>
    </w:pPr>
    <w:rPr>
      <w:rFonts w:hAnsi="宋体"/>
      <w:spacing w:val="-2"/>
      <w:szCs w:val="21"/>
    </w:rPr>
  </w:style>
  <w:style w:type="paragraph" w:customStyle="1" w:styleId="181">
    <w:name w:val="文档正文"/>
    <w:basedOn w:val="1"/>
    <w:qFormat/>
    <w:uiPriority w:val="0"/>
    <w:pPr>
      <w:spacing w:line="460" w:lineRule="exact"/>
      <w:ind w:firstLine="567"/>
      <w:textAlignment w:val="baseline"/>
    </w:pPr>
    <w:rPr>
      <w:rFonts w:ascii="Arial" w:hAnsi="Arial"/>
    </w:rPr>
  </w:style>
  <w:style w:type="paragraph" w:customStyle="1" w:styleId="182">
    <w:name w:val="正文列序2"/>
    <w:basedOn w:val="1"/>
    <w:qFormat/>
    <w:uiPriority w:val="0"/>
    <w:pPr>
      <w:spacing w:line="360" w:lineRule="auto"/>
      <w:ind w:firstLine="425"/>
    </w:pPr>
    <w:rPr>
      <w:rFonts w:hAnsi="宋体"/>
    </w:rPr>
  </w:style>
  <w:style w:type="paragraph" w:customStyle="1" w:styleId="183">
    <w:name w:val="Table Paragraph"/>
    <w:basedOn w:val="1"/>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zgydgb</Company>
  <Pages>51</Pages>
  <Words>25237</Words>
  <Characters>26149</Characters>
  <Lines>30</Lines>
  <Paragraphs>57</Paragraphs>
  <TotalTime>28</TotalTime>
  <ScaleCrop>false</ScaleCrop>
  <LinksUpToDate>false</LinksUpToDate>
  <CharactersWithSpaces>26968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2019-09-17T11:02:00Z</dcterms:created>
  <dc:creator>lyy</dc:creator>
  <cp:lastModifiedBy>Xxy</cp:lastModifiedBy>
  <cp:lastPrinted>2020-04-01T03:52:00Z</cp:lastPrinted>
  <dcterms:modified xsi:type="dcterms:W3CDTF">2020-06-19T09:32:39Z</dcterms:modified>
  <dc:title>货物公开</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